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6D26" w:rsidRDefault="00036D26" w:rsidP="00036D26">
      <w:bookmarkStart w:id="0" w:name="_GoBack"/>
      <w:bookmarkEnd w:id="0"/>
    </w:p>
    <w:p w:rsidR="00036D26" w:rsidRDefault="00036D26" w:rsidP="00036D26"/>
    <w:p w:rsidR="00036D26" w:rsidRPr="00E654E0" w:rsidRDefault="00036D26" w:rsidP="00036D26"/>
    <w:p w:rsidR="00036D26" w:rsidRPr="00E654E0" w:rsidRDefault="00036D26" w:rsidP="00036D26">
      <w:pPr>
        <w:pStyle w:val="Cabealho1"/>
        <w:spacing w:line="360" w:lineRule="auto"/>
        <w:ind w:firstLine="708"/>
        <w:jc w:val="both"/>
        <w:rPr>
          <w:rFonts w:ascii="Times New Roman" w:hAnsi="Times New Roman" w:cs="Times New Roman"/>
          <w:color w:val="auto"/>
          <w:sz w:val="24"/>
          <w:szCs w:val="24"/>
        </w:rPr>
      </w:pPr>
      <w:bookmarkStart w:id="1" w:name="_Toc483610326"/>
      <w:r w:rsidRPr="00E654E0">
        <w:rPr>
          <w:rFonts w:ascii="Times New Roman" w:hAnsi="Times New Roman" w:cs="Times New Roman"/>
          <w:color w:val="auto"/>
          <w:sz w:val="24"/>
          <w:szCs w:val="24"/>
        </w:rPr>
        <w:t>INTRODUÇÃO</w:t>
      </w:r>
      <w:bookmarkEnd w:id="1"/>
    </w:p>
    <w:p w:rsidR="00036D26" w:rsidRPr="00E654E0" w:rsidRDefault="00036D26" w:rsidP="00036D26">
      <w:pPr>
        <w:spacing w:line="360" w:lineRule="auto"/>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O sistema fiscal português tem sofrido ao longo dos seus anos de existência diversas reformas. Se em 1641 a tributação do rendimento em Portugal surgiu para suportar despesas de guerra, a grande reforma de 1988, com a introdução pela primeira vez de um imposto sobre o rendimento das pessoas singulares e coletivas, deve-se à exigência, por parte da sociedade, de um Estado Social que garanta a todos um conjunto de direitos económicos, sociais e culturais, desde o direito à segurança social, à saúde, à educação e à igualdade de oportunidades</w:t>
      </w:r>
      <w:r>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i/>
          <w:sz w:val="24"/>
          <w:szCs w:val="24"/>
        </w:rPr>
        <w:tab/>
      </w:r>
      <w:r>
        <w:rPr>
          <w:rFonts w:ascii="Times New Roman" w:hAnsi="Times New Roman" w:cs="Times New Roman"/>
          <w:sz w:val="24"/>
          <w:szCs w:val="24"/>
        </w:rPr>
        <w:t>A necessidade de promoção</w:t>
      </w:r>
      <w:r w:rsidRPr="00E654E0">
        <w:rPr>
          <w:rFonts w:ascii="Times New Roman" w:hAnsi="Times New Roman" w:cs="Times New Roman"/>
          <w:sz w:val="24"/>
          <w:szCs w:val="24"/>
        </w:rPr>
        <w:t xml:space="preserve"> </w:t>
      </w:r>
      <w:r>
        <w:rPr>
          <w:rFonts w:ascii="Times New Roman" w:hAnsi="Times New Roman" w:cs="Times New Roman"/>
          <w:i/>
          <w:sz w:val="24"/>
          <w:szCs w:val="24"/>
        </w:rPr>
        <w:t>d</w:t>
      </w:r>
      <w:r w:rsidRPr="00E654E0">
        <w:rPr>
          <w:rFonts w:ascii="Times New Roman" w:hAnsi="Times New Roman" w:cs="Times New Roman"/>
          <w:i/>
          <w:sz w:val="24"/>
          <w:szCs w:val="24"/>
        </w:rPr>
        <w:t>o bem-estar e</w:t>
      </w:r>
      <w:r>
        <w:rPr>
          <w:rFonts w:ascii="Times New Roman" w:hAnsi="Times New Roman" w:cs="Times New Roman"/>
          <w:i/>
          <w:sz w:val="24"/>
          <w:szCs w:val="24"/>
        </w:rPr>
        <w:t xml:space="preserve"> a qualidade de vida do povo</w:t>
      </w:r>
      <w:r>
        <w:rPr>
          <w:rFonts w:ascii="Times New Roman" w:hAnsi="Times New Roman" w:cs="Times New Roman"/>
          <w:sz w:val="24"/>
          <w:szCs w:val="24"/>
        </w:rPr>
        <w:t>, assim como da</w:t>
      </w:r>
      <w:r w:rsidRPr="00E654E0">
        <w:rPr>
          <w:rFonts w:ascii="Times New Roman" w:hAnsi="Times New Roman" w:cs="Times New Roman"/>
          <w:i/>
          <w:sz w:val="24"/>
          <w:szCs w:val="24"/>
        </w:rPr>
        <w:t xml:space="preserve"> igualdade real entre os portugueses</w:t>
      </w:r>
      <w:r w:rsidRPr="00E654E0">
        <w:rPr>
          <w:rStyle w:val="Refdenotaderodap"/>
          <w:rFonts w:ascii="Times New Roman" w:hAnsi="Times New Roman" w:cs="Times New Roman"/>
          <w:i/>
          <w:sz w:val="24"/>
          <w:szCs w:val="24"/>
        </w:rPr>
        <w:footnoteReference w:id="1"/>
      </w:r>
      <w:r>
        <w:rPr>
          <w:rFonts w:ascii="Times New Roman" w:hAnsi="Times New Roman" w:cs="Times New Roman"/>
          <w:sz w:val="24"/>
          <w:szCs w:val="24"/>
        </w:rPr>
        <w:t xml:space="preserve">, </w:t>
      </w:r>
      <w:r w:rsidRPr="00E654E0">
        <w:rPr>
          <w:rFonts w:ascii="Times New Roman" w:hAnsi="Times New Roman" w:cs="Times New Roman"/>
          <w:sz w:val="24"/>
          <w:szCs w:val="24"/>
        </w:rPr>
        <w:t xml:space="preserve">obrigaram a uma reforma e reestruturação do sistema fiscal português.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aumento da carga fiscal, </w:t>
      </w:r>
      <w:r>
        <w:rPr>
          <w:rFonts w:ascii="Times New Roman" w:hAnsi="Times New Roman" w:cs="Times New Roman"/>
          <w:sz w:val="24"/>
          <w:szCs w:val="24"/>
        </w:rPr>
        <w:t xml:space="preserve">com o consequente aumento </w:t>
      </w:r>
      <w:r w:rsidRPr="00E654E0">
        <w:rPr>
          <w:rFonts w:ascii="Times New Roman" w:hAnsi="Times New Roman" w:cs="Times New Roman"/>
          <w:sz w:val="24"/>
          <w:szCs w:val="24"/>
        </w:rPr>
        <w:t xml:space="preserve">do número de impostos e regimes aplicáveis, forçou a uma deslocação da atividade tributária da Administração para o próprio contribuinte. Se inicialmente competia à Administração Tributária a determinação dos rendimentos do contribuinte, a aplicação </w:t>
      </w:r>
      <w:r>
        <w:rPr>
          <w:rFonts w:ascii="Times New Roman" w:hAnsi="Times New Roman" w:cs="Times New Roman"/>
          <w:sz w:val="24"/>
          <w:szCs w:val="24"/>
        </w:rPr>
        <w:t>da taxa de</w:t>
      </w:r>
      <w:r w:rsidRPr="00E654E0">
        <w:rPr>
          <w:rFonts w:ascii="Times New Roman" w:hAnsi="Times New Roman" w:cs="Times New Roman"/>
          <w:sz w:val="24"/>
          <w:szCs w:val="24"/>
        </w:rPr>
        <w:t xml:space="preserve"> imposto a esses rendimentos, determinando-se o montante da obrigação fiscal, e, por último, a sua cobrança, hoje em dia, a Administração Tributária tem um papel secundário no que se refere ao procedimento tributário. Devido à complexidade que estas matérias assumiram e por ser o contribuinte o possuidor de toda a sua informação contabilística, compete-lhe a ele a liquidação do seu tributo através de um método declarativo e direto </w:t>
      </w:r>
      <w:r>
        <w:rPr>
          <w:rFonts w:ascii="Times New Roman" w:hAnsi="Times New Roman" w:cs="Times New Roman"/>
          <w:sz w:val="24"/>
          <w:szCs w:val="24"/>
        </w:rPr>
        <w:t>de determinação dos rendimentos, estando a</w:t>
      </w:r>
      <w:r w:rsidRPr="00E654E0">
        <w:rPr>
          <w:rFonts w:ascii="Times New Roman" w:hAnsi="Times New Roman" w:cs="Times New Roman"/>
          <w:sz w:val="24"/>
          <w:szCs w:val="24"/>
        </w:rPr>
        <w:t xml:space="preserve"> Administração Tributária encarregue apenas da verificação da regularidade e fiabilidade das declarações </w:t>
      </w:r>
      <w:r>
        <w:rPr>
          <w:rFonts w:ascii="Times New Roman" w:hAnsi="Times New Roman" w:cs="Times New Roman"/>
          <w:sz w:val="24"/>
          <w:szCs w:val="24"/>
        </w:rPr>
        <w:t>por si prestadas</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São inegáveis as vantagens, por motivos de praticabilidade e eficiência, da avaliação direta. Temos um método da competência do sujeito passivo, baseado numa presunção de veracidade das suas declarações, que para além de permitir a determinação </w:t>
      </w:r>
      <w:r w:rsidRPr="00E654E0">
        <w:rPr>
          <w:rFonts w:ascii="Times New Roman" w:hAnsi="Times New Roman" w:cs="Times New Roman"/>
          <w:sz w:val="24"/>
          <w:szCs w:val="24"/>
        </w:rPr>
        <w:lastRenderedPageBreak/>
        <w:t xml:space="preserve">de um rendimento que se diz real, através de elementos objetivos, evita a intromissão da Administração Tributária na </w:t>
      </w:r>
      <w:r>
        <w:rPr>
          <w:rFonts w:ascii="Times New Roman" w:hAnsi="Times New Roman" w:cs="Times New Roman"/>
          <w:sz w:val="24"/>
          <w:szCs w:val="24"/>
        </w:rPr>
        <w:t>sua esfera privada.</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Ainda que evidentes as vantagens daquele método, rapidamente não faltou quem se apercebesse das suas lacunas. Para além da existência de rendimentos que ficavam fora do alcance da tributação por métodos diretos, a sofisticação e </w:t>
      </w:r>
      <w:r w:rsidRPr="00E654E0">
        <w:rPr>
          <w:rFonts w:ascii="Times New Roman" w:hAnsi="Times New Roman" w:cs="Times New Roman"/>
          <w:i/>
          <w:sz w:val="24"/>
          <w:szCs w:val="24"/>
        </w:rPr>
        <w:t>desadministrativização</w:t>
      </w:r>
      <w:r w:rsidRPr="00E654E0">
        <w:rPr>
          <w:rFonts w:ascii="Times New Roman" w:hAnsi="Times New Roman" w:cs="Times New Roman"/>
          <w:sz w:val="24"/>
          <w:szCs w:val="24"/>
        </w:rPr>
        <w:t xml:space="preserve"> que se verificou, para além de permitir a criação de receita para o Estado Social e manutenção dos bens públicos, também permitiu a criação de novas formas de evasão fiscal.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 existência de deficiências e irregularidades nas declarações prestadas pelos contribuintes, a falta de documentação e a d</w:t>
      </w:r>
      <w:r>
        <w:rPr>
          <w:rFonts w:ascii="Times New Roman" w:hAnsi="Times New Roman" w:cs="Times New Roman"/>
          <w:sz w:val="24"/>
          <w:szCs w:val="24"/>
        </w:rPr>
        <w:t>esproporção de rendimentos muita</w:t>
      </w:r>
      <w:r w:rsidRPr="00E654E0">
        <w:rPr>
          <w:rFonts w:ascii="Times New Roman" w:hAnsi="Times New Roman" w:cs="Times New Roman"/>
          <w:sz w:val="24"/>
          <w:szCs w:val="24"/>
        </w:rPr>
        <w:t xml:space="preserve">s vezes verificada, obrigaram à criação de um método subsidiário e excecional ao método declarativo, a avaliação indireta.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O método indireto de determinação da matéria tributável, por ser um método presuntivo, que se faculta de elementos subjetivos para determinação da obrigação tributária, é utilizável apenas nos casos taxativamente previstos na lei. Este método visa a descoberta da verdade material, ainda que muitas vezes a verdade possível é uma verdade material aproximada, e procura assegurar uma correta distribuição dos encargos pela sociedade, garanti</w:t>
      </w:r>
      <w:r>
        <w:rPr>
          <w:rFonts w:ascii="Times New Roman" w:hAnsi="Times New Roman" w:cs="Times New Roman"/>
          <w:sz w:val="24"/>
          <w:szCs w:val="24"/>
        </w:rPr>
        <w:t>ndo que todos contribuem segundo</w:t>
      </w:r>
      <w:r w:rsidRPr="00E654E0">
        <w:rPr>
          <w:rFonts w:ascii="Times New Roman" w:hAnsi="Times New Roman" w:cs="Times New Roman"/>
          <w:sz w:val="24"/>
          <w:szCs w:val="24"/>
        </w:rPr>
        <w:t xml:space="preserve"> a sua capacidade contributiva para o Estado Social.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Se inicialmente os crimes praticados contra o Estado reclamavam uma diminuta necessidade de prevenção especial e geral, por serem crimes praticados por pessoas que se encontravam, na maioria dos casos, perfeitamente inseridas na sociedade e eram vistos como crimes que não afetavam diretamente a esfera individual da pessoa, hoje, e com as recentes crises económicas e políticas, ao obrigarem a uma sobrecarga fiscal, para corrigir os erros do passado, retirando, deste modo, rendimen</w:t>
      </w:r>
      <w:r>
        <w:rPr>
          <w:rFonts w:ascii="Times New Roman" w:hAnsi="Times New Roman" w:cs="Times New Roman"/>
          <w:sz w:val="24"/>
          <w:szCs w:val="24"/>
        </w:rPr>
        <w:t>tos aos particulares, começou</w:t>
      </w:r>
      <w:r w:rsidRPr="00E654E0">
        <w:rPr>
          <w:rFonts w:ascii="Times New Roman" w:hAnsi="Times New Roman" w:cs="Times New Roman"/>
          <w:sz w:val="24"/>
          <w:szCs w:val="24"/>
        </w:rPr>
        <w:t xml:space="preserve"> a exigir</w:t>
      </w:r>
      <w:r>
        <w:rPr>
          <w:rFonts w:ascii="Times New Roman" w:hAnsi="Times New Roman" w:cs="Times New Roman"/>
          <w:sz w:val="24"/>
          <w:szCs w:val="24"/>
        </w:rPr>
        <w:t>-se</w:t>
      </w:r>
      <w:r w:rsidRPr="00E654E0">
        <w:rPr>
          <w:rFonts w:ascii="Times New Roman" w:hAnsi="Times New Roman" w:cs="Times New Roman"/>
          <w:sz w:val="24"/>
          <w:szCs w:val="24"/>
        </w:rPr>
        <w:t xml:space="preserve"> uma punição efetiva na criminalidade económica, por exemplo, fraudes, burlas, corrupção e branqueamento de capitais.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 complexidade técnica dos crimes fiscais e a própria facilidade de ocultação de documentos e outros elementos indiciadores da prática daqueles crimes, faz com que a sua identificação e prova seja muitas vezes quase impossível, levando à impunidade dos seus agentes. </w:t>
      </w:r>
    </w:p>
    <w:p w:rsidR="00036D26" w:rsidRPr="00E654E0" w:rsidRDefault="00036D26" w:rsidP="00036D2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aquisição da</w:t>
      </w:r>
      <w:r w:rsidRPr="00E654E0">
        <w:rPr>
          <w:rFonts w:ascii="Times New Roman" w:hAnsi="Times New Roman" w:cs="Times New Roman"/>
          <w:sz w:val="24"/>
          <w:szCs w:val="24"/>
        </w:rPr>
        <w:t xml:space="preserve"> notícia de crime tributário, por diversas vezes</w:t>
      </w:r>
      <w:r>
        <w:rPr>
          <w:rFonts w:ascii="Times New Roman" w:hAnsi="Times New Roman" w:cs="Times New Roman"/>
          <w:sz w:val="24"/>
          <w:szCs w:val="24"/>
        </w:rPr>
        <w:t>,</w:t>
      </w:r>
      <w:r w:rsidRPr="00E654E0">
        <w:rPr>
          <w:rFonts w:ascii="Times New Roman" w:hAnsi="Times New Roman" w:cs="Times New Roman"/>
          <w:sz w:val="24"/>
          <w:szCs w:val="24"/>
        </w:rPr>
        <w:t xml:space="preserve"> ocorre no âmbito de um procedimento tributário, um pro</w:t>
      </w:r>
      <w:r>
        <w:rPr>
          <w:rFonts w:ascii="Times New Roman" w:hAnsi="Times New Roman" w:cs="Times New Roman"/>
          <w:sz w:val="24"/>
          <w:szCs w:val="24"/>
        </w:rPr>
        <w:t xml:space="preserve">cedimento inspetivo, ou </w:t>
      </w:r>
      <w:r w:rsidRPr="00E654E0">
        <w:rPr>
          <w:rFonts w:ascii="Times New Roman" w:hAnsi="Times New Roman" w:cs="Times New Roman"/>
          <w:sz w:val="24"/>
          <w:szCs w:val="24"/>
        </w:rPr>
        <w:t>da própria aplicação da avaliação indireta e a circunstância de o contribuinte evidenciar manifestações de fortuna e outros acréscimos patrimoniais não justificados.</w:t>
      </w:r>
    </w:p>
    <w:p w:rsidR="000B22E7" w:rsidRDefault="000B22E7" w:rsidP="000B22E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que nos propomos com este trabalho, mais do que expor o tema da avaliação indireta, os princípios do procedimento tributário, as suas características, direitos e deveres do contribuinte e consequências da sua violação, é perceber que efeitos, a nível penal, poderá ter a avaliação indireta, em que situações se justifica a sua comunicação ao Ministério Público e aos órgãos da Administração Tributária com competência delegada para o inquérito, será sempre ou apenas nos casos em que se evidencie indícios da prática de uma infração fiscal, e havendo essa comunicação, iniciando-se o processo penal tributário, da constitucionalidade da imposição de um dever de colaboração ao contribuinte em fase administrativa e a posterior utilização dos elementos por si cedidos, em processo criminal, para fundamentar uma decisão de acusação ou condenação. </w:t>
      </w:r>
    </w:p>
    <w:p w:rsidR="00036D26" w:rsidRPr="00E654E0" w:rsidRDefault="00036D26" w:rsidP="00036D26">
      <w:pPr>
        <w:spacing w:line="360" w:lineRule="auto"/>
        <w:ind w:firstLine="708"/>
        <w:jc w:val="both"/>
        <w:rPr>
          <w:rFonts w:ascii="Times New Roman" w:hAnsi="Times New Roman" w:cs="Times New Roman"/>
          <w:sz w:val="24"/>
          <w:szCs w:val="24"/>
        </w:rPr>
      </w:pPr>
    </w:p>
    <w:p w:rsidR="00036D26" w:rsidRPr="00E654E0" w:rsidRDefault="00036D26" w:rsidP="00036D26">
      <w:pPr>
        <w:spacing w:line="360" w:lineRule="auto"/>
        <w:ind w:firstLine="708"/>
        <w:jc w:val="both"/>
        <w:rPr>
          <w:rFonts w:ascii="Times New Roman" w:hAnsi="Times New Roman" w:cs="Times New Roman"/>
          <w:sz w:val="24"/>
          <w:szCs w:val="24"/>
        </w:rPr>
      </w:pPr>
    </w:p>
    <w:p w:rsidR="00036D26" w:rsidRPr="00E654E0" w:rsidRDefault="00036D26" w:rsidP="00036D26">
      <w:pPr>
        <w:spacing w:line="360" w:lineRule="auto"/>
        <w:ind w:firstLine="708"/>
        <w:jc w:val="both"/>
        <w:rPr>
          <w:rFonts w:ascii="Times New Roman" w:hAnsi="Times New Roman" w:cs="Times New Roman"/>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Pr="00E654E0" w:rsidRDefault="00036D26" w:rsidP="00036D26">
      <w:pPr>
        <w:spacing w:line="360" w:lineRule="auto"/>
        <w:rPr>
          <w:rFonts w:ascii="Times New Roman" w:hAnsi="Times New Roman" w:cs="Times New Roman"/>
          <w:b/>
          <w:sz w:val="24"/>
          <w:szCs w:val="24"/>
        </w:rPr>
      </w:pPr>
    </w:p>
    <w:p w:rsidR="00036D26" w:rsidRDefault="00036D26" w:rsidP="00036D26">
      <w:pPr>
        <w:spacing w:line="360" w:lineRule="auto"/>
        <w:jc w:val="both"/>
        <w:rPr>
          <w:rFonts w:ascii="Times New Roman" w:hAnsi="Times New Roman" w:cs="Times New Roman"/>
          <w:sz w:val="24"/>
          <w:szCs w:val="24"/>
        </w:rPr>
      </w:pPr>
      <w:bookmarkStart w:id="2" w:name="_Toc483610327"/>
    </w:p>
    <w:p w:rsidR="00036D26" w:rsidRPr="007B6B4C" w:rsidRDefault="00036D26" w:rsidP="00036D26">
      <w:pPr>
        <w:spacing w:line="360" w:lineRule="auto"/>
        <w:jc w:val="both"/>
        <w:rPr>
          <w:rFonts w:ascii="Times New Roman" w:hAnsi="Times New Roman" w:cs="Times New Roman"/>
          <w:sz w:val="24"/>
          <w:szCs w:val="24"/>
        </w:rPr>
      </w:pPr>
    </w:p>
    <w:p w:rsidR="00036D26" w:rsidRDefault="00036D26" w:rsidP="00036D26">
      <w:pPr>
        <w:pStyle w:val="Cabealho1"/>
        <w:spacing w:line="360" w:lineRule="auto"/>
        <w:jc w:val="both"/>
        <w:rPr>
          <w:rFonts w:ascii="Times New Roman" w:hAnsi="Times New Roman" w:cs="Times New Roman"/>
          <w:color w:val="auto"/>
          <w:sz w:val="24"/>
          <w:szCs w:val="24"/>
        </w:rPr>
      </w:pPr>
    </w:p>
    <w:p w:rsidR="00036D26" w:rsidRDefault="00036D26" w:rsidP="00036D26">
      <w:pPr>
        <w:pStyle w:val="Cabealho1"/>
        <w:spacing w:line="360" w:lineRule="auto"/>
        <w:jc w:val="both"/>
        <w:rPr>
          <w:rFonts w:ascii="Times New Roman" w:hAnsi="Times New Roman" w:cs="Times New Roman"/>
          <w:color w:val="auto"/>
          <w:sz w:val="24"/>
          <w:szCs w:val="24"/>
        </w:rPr>
      </w:pPr>
    </w:p>
    <w:p w:rsidR="00036D26" w:rsidRDefault="00036D26" w:rsidP="00036D26">
      <w:pPr>
        <w:pStyle w:val="Cabealho1"/>
        <w:spacing w:line="360" w:lineRule="auto"/>
        <w:jc w:val="both"/>
        <w:rPr>
          <w:rFonts w:ascii="Times New Roman" w:hAnsi="Times New Roman" w:cs="Times New Roman"/>
          <w:color w:val="auto"/>
          <w:sz w:val="24"/>
          <w:szCs w:val="24"/>
        </w:rPr>
      </w:pPr>
      <w:r w:rsidRPr="00E654E0">
        <w:rPr>
          <w:rFonts w:ascii="Times New Roman" w:hAnsi="Times New Roman" w:cs="Times New Roman"/>
          <w:color w:val="auto"/>
          <w:sz w:val="24"/>
          <w:szCs w:val="24"/>
        </w:rPr>
        <w:t>1. PROCEDIMENTO TRIBUTÁRIO</w:t>
      </w:r>
      <w:bookmarkStart w:id="3" w:name="_Toc483610328"/>
      <w:bookmarkEnd w:id="2"/>
    </w:p>
    <w:p w:rsidR="00036D26" w:rsidRPr="00E654E0" w:rsidRDefault="00036D26" w:rsidP="00036D26">
      <w:pPr>
        <w:pStyle w:val="Cabealho1"/>
        <w:spacing w:line="360" w:lineRule="auto"/>
        <w:ind w:firstLine="708"/>
        <w:jc w:val="both"/>
        <w:rPr>
          <w:rFonts w:ascii="Times New Roman" w:hAnsi="Times New Roman" w:cs="Times New Roman"/>
          <w:color w:val="auto"/>
          <w:sz w:val="24"/>
          <w:szCs w:val="24"/>
        </w:rPr>
      </w:pPr>
      <w:r w:rsidRPr="00E654E0">
        <w:rPr>
          <w:rFonts w:ascii="Times New Roman" w:hAnsi="Times New Roman" w:cs="Times New Roman"/>
          <w:color w:val="auto"/>
          <w:sz w:val="24"/>
          <w:szCs w:val="24"/>
        </w:rPr>
        <w:t>1.1. Princípios do Procedimento Tributário – Avaliação Indireta</w:t>
      </w:r>
      <w:bookmarkEnd w:id="3"/>
      <w:r w:rsidRPr="00E654E0">
        <w:rPr>
          <w:rFonts w:ascii="Times New Roman" w:hAnsi="Times New Roman" w:cs="Times New Roman"/>
          <w:color w:val="auto"/>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Constituição Fiscal, sendo a primeira fonte de todo o sistema normativo fiscal, os seus princípios são as linhas orientadoras de toda a atuação da Administração Tributária em matéria de impostos, desde a sua definição, determinação, liquidação e cobrança. É possível dividir os diversos princípios jurídico-constitucionais em duas categorias, aqueles que fixam os limites de natureza formal – </w:t>
      </w:r>
      <w:r w:rsidRPr="00E654E0">
        <w:rPr>
          <w:rFonts w:ascii="Times New Roman" w:hAnsi="Times New Roman" w:cs="Times New Roman"/>
          <w:i/>
          <w:sz w:val="24"/>
          <w:szCs w:val="24"/>
        </w:rPr>
        <w:t>princípio da legalidade fiscal, da segurança jurídica e da proibição do referendo fiscal</w:t>
      </w:r>
      <w:r w:rsidRPr="00E654E0">
        <w:rPr>
          <w:rFonts w:ascii="Times New Roman" w:hAnsi="Times New Roman" w:cs="Times New Roman"/>
          <w:sz w:val="24"/>
          <w:szCs w:val="24"/>
        </w:rPr>
        <w:t xml:space="preserve"> – e os que definem os limites de natureza material – </w:t>
      </w:r>
      <w:r w:rsidRPr="00E654E0">
        <w:rPr>
          <w:rFonts w:ascii="Times New Roman" w:hAnsi="Times New Roman" w:cs="Times New Roman"/>
          <w:i/>
          <w:sz w:val="24"/>
          <w:szCs w:val="24"/>
        </w:rPr>
        <w:t>princípio da igualdade fiscal, da não discriminação da família e respeito pelos direitos fundamentais e princípio do Estado Social</w:t>
      </w:r>
      <w:r w:rsidRPr="00E654E0">
        <w:rPr>
          <w:rStyle w:val="Refdenotaderodap"/>
          <w:rFonts w:ascii="Times New Roman" w:hAnsi="Times New Roman" w:cs="Times New Roman"/>
          <w:i/>
          <w:sz w:val="24"/>
          <w:szCs w:val="24"/>
        </w:rPr>
        <w:footnoteReference w:id="2"/>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procedimento tributário compreende toda a sucessão de atos dirigida à declaração de direitos tributários, designadamente, a avaliação direta ou indireta dos rendimentos ou valores patrimoniais</w:t>
      </w:r>
      <w:r w:rsidRPr="00E654E0">
        <w:rPr>
          <w:rStyle w:val="Refdenotaderodap"/>
          <w:rFonts w:ascii="Times New Roman" w:hAnsi="Times New Roman" w:cs="Times New Roman"/>
          <w:sz w:val="24"/>
          <w:szCs w:val="24"/>
        </w:rPr>
        <w:footnoteReference w:id="3"/>
      </w:r>
      <w:r w:rsidRPr="00E654E0">
        <w:rPr>
          <w:rFonts w:ascii="Times New Roman" w:hAnsi="Times New Roman" w:cs="Times New Roman"/>
          <w:sz w:val="24"/>
          <w:szCs w:val="24"/>
        </w:rPr>
        <w:t>. A direção deste procedimento é da competência da Autoridade Tributária e Aduaneira</w:t>
      </w:r>
      <w:r w:rsidRPr="00E654E0">
        <w:rPr>
          <w:rStyle w:val="Refdenotaderodap"/>
          <w:rFonts w:ascii="Times New Roman" w:hAnsi="Times New Roman" w:cs="Times New Roman"/>
          <w:sz w:val="24"/>
          <w:szCs w:val="24"/>
        </w:rPr>
        <w:footnoteReference w:id="4"/>
      </w:r>
      <w:r w:rsidRPr="00E654E0">
        <w:rPr>
          <w:rFonts w:ascii="Times New Roman" w:hAnsi="Times New Roman" w:cs="Times New Roman"/>
          <w:sz w:val="24"/>
          <w:szCs w:val="24"/>
        </w:rPr>
        <w:t xml:space="preserve">, enquanto entidade decisora e com a finalidade de realização do interesse público.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Os princípios norteadores do procedimento tributário encontram-se previstos na Lei Geral Tributária nos artigos 55.º - princípio da legalidade, igualdade, proporcionalidade, justiça, imparcialidade e celeridade -, 56.º - princípio da decisão -, 58.º - princípio do inquisitório -, 59.º - princípio da colaboração – e 60.º - princípio da participação; e ainda no Código de Procedimento e Processo Tributário nos artigos 45.º - princípio do contraditório -, 46.º - princípio da proporcionalidade -, 47.º - princípio do duplo grau de decisão -, 48.º - princípio da cooperação da administração tributária e do contribuinte – e 49.º - princípio da cooperação de entidades públicas.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Para compreensão deste trabalho interessa-nos sobretudo os princípios da legalidade, da igualdade, da proporcionalidade, da imparcialidade, da verdade material, do inquisitório e da colaboração.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Os impostos são criados por lei - </w:t>
      </w:r>
      <w:r w:rsidRPr="00E654E0">
        <w:rPr>
          <w:rFonts w:ascii="Times New Roman" w:hAnsi="Times New Roman" w:cs="Times New Roman"/>
          <w:i/>
          <w:sz w:val="24"/>
          <w:szCs w:val="24"/>
        </w:rPr>
        <w:t>princípio da legalidade tributária</w:t>
      </w:r>
      <w:r w:rsidRPr="00E654E0">
        <w:rPr>
          <w:rFonts w:ascii="Times New Roman" w:hAnsi="Times New Roman" w:cs="Times New Roman"/>
          <w:sz w:val="24"/>
          <w:szCs w:val="24"/>
        </w:rPr>
        <w:t>, artigo 103.º número 2 da Constituição da República Portuguesa e artigo 8.º da Lei Geral Tributária -, a decisão sobre todos os aspetos essenciais da norma fiscal cabe ao parlamento ou ao governo mediante autorização legislativa e definição prévia do conteúdo fundamental da lei a criar</w:t>
      </w:r>
      <w:r w:rsidRPr="00E654E0">
        <w:rPr>
          <w:rStyle w:val="Refdenotaderodap"/>
          <w:rFonts w:ascii="Times New Roman" w:hAnsi="Times New Roman" w:cs="Times New Roman"/>
          <w:sz w:val="24"/>
          <w:szCs w:val="24"/>
        </w:rPr>
        <w:footnoteReference w:id="5"/>
      </w:r>
      <w:r w:rsidRPr="00E654E0">
        <w:rPr>
          <w:rFonts w:ascii="Times New Roman" w:hAnsi="Times New Roman" w:cs="Times New Roman"/>
          <w:sz w:val="24"/>
          <w:szCs w:val="24"/>
        </w:rPr>
        <w:t xml:space="preserve">, artigo 165.º número 1 alínea </w:t>
      </w:r>
      <w:r w:rsidRPr="00E654E0">
        <w:rPr>
          <w:rFonts w:ascii="Times New Roman" w:hAnsi="Times New Roman" w:cs="Times New Roman"/>
          <w:i/>
          <w:sz w:val="24"/>
          <w:szCs w:val="24"/>
        </w:rPr>
        <w:t xml:space="preserve">i) </w:t>
      </w:r>
      <w:r w:rsidRPr="00E654E0">
        <w:rPr>
          <w:rFonts w:ascii="Times New Roman" w:hAnsi="Times New Roman" w:cs="Times New Roman"/>
          <w:sz w:val="24"/>
          <w:szCs w:val="24"/>
        </w:rPr>
        <w:t xml:space="preserve">da Constituição da República Portuguesa. Esta tipicidade legal impõe que a lei delimite todos os aspetos essenciais do imposto, que lhe dê operatividade suficiente, de modo a evitar, não só a futura regulamentação, mas também a discricionariedade da Administração Tributária. Entende-se por elementos essenciais do imposto, a sua incidência, taxa, benefícios fiscais e garantias dos contribuintes quando estas sejam objeto de uma limitação.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No artigo 55.º da Lei Geral Tributária refere-se novamente o princípio da legalidade, contudo, este encontra consagração constitucional, já não no artigo 103.º número 2 da Constituição da República Portuguesa, relativo à reserva de lei formal da Assembleia da República, mas sim no seu artigo 266.º número 2, sob a epígrafe </w:t>
      </w:r>
      <w:r w:rsidRPr="00E654E0">
        <w:rPr>
          <w:rFonts w:ascii="Times New Roman" w:hAnsi="Times New Roman" w:cs="Times New Roman"/>
          <w:i/>
          <w:sz w:val="24"/>
          <w:szCs w:val="24"/>
        </w:rPr>
        <w:t xml:space="preserve">Princípios Fundamentais. </w:t>
      </w:r>
      <w:r w:rsidRPr="00E654E0">
        <w:rPr>
          <w:rFonts w:ascii="Times New Roman" w:hAnsi="Times New Roman" w:cs="Times New Roman"/>
          <w:sz w:val="24"/>
          <w:szCs w:val="24"/>
        </w:rPr>
        <w:t>Este artigo submete os órgãos e agentes da Administração à lei na prossecução do interesse público</w:t>
      </w:r>
      <w:r w:rsidRPr="00E654E0">
        <w:rPr>
          <w:rStyle w:val="Refdenotaderodap"/>
          <w:rFonts w:ascii="Times New Roman" w:hAnsi="Times New Roman" w:cs="Times New Roman"/>
          <w:sz w:val="24"/>
          <w:szCs w:val="24"/>
        </w:rPr>
        <w:footnoteReference w:id="6"/>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É critério de determinação do imposto a capacidade contributiva de cada sujeito passivo</w:t>
      </w:r>
      <w:r w:rsidRPr="00E654E0">
        <w:rPr>
          <w:rStyle w:val="Refdenotaderodap"/>
          <w:rFonts w:ascii="Times New Roman" w:hAnsi="Times New Roman" w:cs="Times New Roman"/>
          <w:sz w:val="24"/>
          <w:szCs w:val="24"/>
        </w:rPr>
        <w:footnoteReference w:id="7"/>
      </w:r>
      <w:r w:rsidRPr="00E654E0">
        <w:rPr>
          <w:rFonts w:ascii="Times New Roman" w:hAnsi="Times New Roman" w:cs="Times New Roman"/>
          <w:sz w:val="24"/>
          <w:szCs w:val="24"/>
        </w:rPr>
        <w:t xml:space="preserve">. Mais do que uma contribuição quantitativamente igual de todos os destinatários das normas fiscais – igualdade formal -, o que se pretende é que cada um contribua na medida do seu rendimento real, </w:t>
      </w:r>
      <w:r w:rsidRPr="00E654E0">
        <w:rPr>
          <w:rFonts w:ascii="Times New Roman" w:hAnsi="Times New Roman" w:cs="Times New Roman"/>
          <w:i/>
          <w:sz w:val="24"/>
          <w:szCs w:val="24"/>
        </w:rPr>
        <w:t>a diferenciação de resultados deve corresponder a uma efetiva diferença existente entre os destinatários das normas fiscais</w:t>
      </w:r>
      <w:r w:rsidRPr="00E654E0">
        <w:rPr>
          <w:rStyle w:val="Refdenotaderodap"/>
          <w:rFonts w:ascii="Times New Roman" w:hAnsi="Times New Roman" w:cs="Times New Roman"/>
          <w:i/>
          <w:sz w:val="24"/>
          <w:szCs w:val="24"/>
        </w:rPr>
        <w:footnoteReference w:id="8"/>
      </w:r>
      <w:r w:rsidRPr="00E654E0">
        <w:rPr>
          <w:rFonts w:ascii="Times New Roman" w:hAnsi="Times New Roman" w:cs="Times New Roman"/>
          <w:i/>
          <w:sz w:val="24"/>
          <w:szCs w:val="24"/>
        </w:rPr>
        <w:t>, igual imposto para os que dispõem de igual capacidade contributiva e diferente imposto para os que dispõem de diferente capacidade contributiva, na proporção desta diferença</w:t>
      </w:r>
      <w:r w:rsidRPr="00E654E0">
        <w:rPr>
          <w:rStyle w:val="Refdenotaderodap"/>
          <w:rFonts w:ascii="Times New Roman" w:hAnsi="Times New Roman" w:cs="Times New Roman"/>
          <w:i/>
          <w:sz w:val="24"/>
          <w:szCs w:val="24"/>
        </w:rPr>
        <w:footnoteReference w:id="9"/>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 igualdade material.</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 </w:t>
      </w:r>
      <w:r w:rsidRPr="00E654E0">
        <w:rPr>
          <w:rFonts w:ascii="Times New Roman" w:hAnsi="Times New Roman" w:cs="Times New Roman"/>
          <w:i/>
          <w:sz w:val="24"/>
          <w:szCs w:val="24"/>
        </w:rPr>
        <w:t xml:space="preserve">princípio da igualdade tributária </w:t>
      </w:r>
      <w:r w:rsidRPr="00E654E0">
        <w:rPr>
          <w:rFonts w:ascii="Times New Roman" w:hAnsi="Times New Roman" w:cs="Times New Roman"/>
          <w:sz w:val="24"/>
          <w:szCs w:val="24"/>
        </w:rPr>
        <w:t>encontra-se previsto no artigo 55.º da Lei Geral Tributária e no artigo 6.º do Código de Procedimento Administrativo</w:t>
      </w:r>
      <w:r w:rsidRPr="00E654E0">
        <w:rPr>
          <w:rStyle w:val="Refdenotaderodap"/>
          <w:rFonts w:ascii="Times New Roman" w:hAnsi="Times New Roman" w:cs="Times New Roman"/>
          <w:sz w:val="24"/>
          <w:szCs w:val="24"/>
        </w:rPr>
        <w:footnoteReference w:id="10"/>
      </w:r>
      <w:r w:rsidRPr="00E654E0">
        <w:rPr>
          <w:rFonts w:ascii="Times New Roman" w:hAnsi="Times New Roman" w:cs="Times New Roman"/>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Outro dos princípios enunciados no artigo 55.º da Lei Geral Tributária é o </w:t>
      </w:r>
      <w:r w:rsidRPr="00E654E0">
        <w:rPr>
          <w:rFonts w:ascii="Times New Roman" w:hAnsi="Times New Roman" w:cs="Times New Roman"/>
          <w:i/>
          <w:sz w:val="24"/>
          <w:szCs w:val="24"/>
        </w:rPr>
        <w:t>princípio da proporcionalidade</w:t>
      </w:r>
      <w:r w:rsidRPr="00E654E0">
        <w:rPr>
          <w:rFonts w:ascii="Times New Roman" w:hAnsi="Times New Roman" w:cs="Times New Roman"/>
          <w:sz w:val="24"/>
          <w:szCs w:val="24"/>
        </w:rPr>
        <w:t>. Este princípio tem consagração constitucional no artigo 18.º número 2 e no artigo 266.º número 2, quando dirigido à atuação da Administração Tributária na prossecução do interesse público. No que respeita ao procedimento tributário, para além da sua referência no artigo 55.º da Lei Geral Tributária, o artigo 46.º do Código de Procedimento e Processo Tributário também impõe à Administração, que nos atos a adotar no procedimento, estes sejam adequados aos objetivos a atingir, de acordo com os princípios da proporcionalidade, eficiência, praticabilidade e simplicidade</w:t>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 xml:space="preserve">obedecendo aos critérios da adequação, necessidade e proporcionalidade em sentido estrito.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De acordo com aquele princípio, a Administração Tributária deverá optar, de entre as medidas idóneas à prossecução do interesse público, por aquelas que forem menos lesivas dos interesses dos sujeitos passivos.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Intimamente ligado a este princípio está o </w:t>
      </w:r>
      <w:r w:rsidRPr="00E654E0">
        <w:rPr>
          <w:rFonts w:ascii="Times New Roman" w:hAnsi="Times New Roman" w:cs="Times New Roman"/>
          <w:i/>
          <w:sz w:val="24"/>
          <w:szCs w:val="24"/>
        </w:rPr>
        <w:t>princípio da colaboração</w:t>
      </w:r>
      <w:r w:rsidRPr="00E654E0">
        <w:rPr>
          <w:rFonts w:ascii="Times New Roman" w:hAnsi="Times New Roman" w:cs="Times New Roman"/>
          <w:sz w:val="24"/>
          <w:szCs w:val="24"/>
        </w:rPr>
        <w:t xml:space="preserve">, previsto no artigo 59.º número 1, 3 e 4 da Lei Geral Tributária e no artigo 48.º do Código de Procedimento e Processo Tributário. A Administração Tributária, ao abrigo do dever de colaboração dos contribuintes, deverá fazer apenas os pedidos que se revelem </w:t>
      </w:r>
      <w:r w:rsidRPr="00E654E0">
        <w:rPr>
          <w:rFonts w:ascii="Times New Roman" w:hAnsi="Times New Roman" w:cs="Times New Roman"/>
          <w:i/>
          <w:sz w:val="24"/>
          <w:szCs w:val="24"/>
        </w:rPr>
        <w:t>adequados e proporcionais aos objetivos a atingir, ou seja, à satisfação das necessidades do procedimento tributário, devendo esses factos serem relevantes para a instrução e decisão do procedimento e serem do conhecimento da pessoa a quem é exigida a colaboração</w:t>
      </w:r>
      <w:r w:rsidRPr="00E654E0">
        <w:rPr>
          <w:rStyle w:val="Refdenotaderodap"/>
          <w:rFonts w:ascii="Times New Roman" w:hAnsi="Times New Roman" w:cs="Times New Roman"/>
          <w:i/>
          <w:sz w:val="24"/>
          <w:szCs w:val="24"/>
        </w:rPr>
        <w:footnoteReference w:id="11"/>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No que diz respeito ao </w:t>
      </w:r>
      <w:r w:rsidRPr="00E654E0">
        <w:rPr>
          <w:rFonts w:ascii="Times New Roman" w:hAnsi="Times New Roman" w:cs="Times New Roman"/>
          <w:i/>
          <w:sz w:val="24"/>
          <w:szCs w:val="24"/>
        </w:rPr>
        <w:t>princípio da imparcialidade</w:t>
      </w:r>
      <w:r w:rsidRPr="00E654E0">
        <w:rPr>
          <w:rFonts w:ascii="Times New Roman" w:hAnsi="Times New Roman" w:cs="Times New Roman"/>
          <w:sz w:val="24"/>
          <w:szCs w:val="24"/>
        </w:rPr>
        <w:t>, este encontra-se previsto no artigo 266.º número 2 da Constituição da República Portuguesa e no artigo 55.º da Lei Geral Tributária. Tal como no procedimento administrativo em geral</w:t>
      </w:r>
      <w:r w:rsidRPr="00E654E0">
        <w:rPr>
          <w:rStyle w:val="Refdenotaderodap"/>
          <w:rFonts w:ascii="Times New Roman" w:hAnsi="Times New Roman" w:cs="Times New Roman"/>
          <w:sz w:val="24"/>
          <w:szCs w:val="24"/>
        </w:rPr>
        <w:footnoteReference w:id="12"/>
      </w:r>
      <w:r w:rsidRPr="00E654E0">
        <w:rPr>
          <w:rFonts w:ascii="Times New Roman" w:hAnsi="Times New Roman" w:cs="Times New Roman"/>
          <w:sz w:val="24"/>
          <w:szCs w:val="24"/>
        </w:rPr>
        <w:t>, a Administração Tributária deve tratar de forma imparcial aqueles que com ela entrem em relação.</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imparcialidade que ora se reclama, obriga a Administração Tributária, enquanto entidade decisora imparcial na prossecução do interesse público, a realizar todas as diligências necessárias à descoberta da verdade material – </w:t>
      </w:r>
      <w:r w:rsidRPr="00E654E0">
        <w:rPr>
          <w:rFonts w:ascii="Times New Roman" w:hAnsi="Times New Roman" w:cs="Times New Roman"/>
          <w:i/>
          <w:sz w:val="24"/>
          <w:szCs w:val="24"/>
        </w:rPr>
        <w:t>princípio do inquisitório</w:t>
      </w:r>
      <w:r w:rsidRPr="00E654E0">
        <w:rPr>
          <w:rStyle w:val="Refdenotaderodap"/>
          <w:rFonts w:ascii="Times New Roman" w:hAnsi="Times New Roman" w:cs="Times New Roman"/>
          <w:sz w:val="24"/>
          <w:szCs w:val="24"/>
        </w:rPr>
        <w:footnoteReference w:id="13"/>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princípio da imparcialidade juntamente com</w:t>
      </w:r>
      <w:r>
        <w:rPr>
          <w:rFonts w:ascii="Times New Roman" w:hAnsi="Times New Roman" w:cs="Times New Roman"/>
          <w:sz w:val="24"/>
          <w:szCs w:val="24"/>
        </w:rPr>
        <w:t xml:space="preserve"> o</w:t>
      </w:r>
      <w:r w:rsidRPr="00E654E0">
        <w:rPr>
          <w:rFonts w:ascii="Times New Roman" w:hAnsi="Times New Roman" w:cs="Times New Roman"/>
          <w:sz w:val="24"/>
          <w:szCs w:val="24"/>
        </w:rPr>
        <w:t xml:space="preserve"> princípio do inquisitório, ao imporem à Administração que tenha uma atuação neutra e desinteressada enquanto entidade cobradora de impostos, </w:t>
      </w:r>
      <w:r w:rsidRPr="00E654E0">
        <w:rPr>
          <w:rFonts w:ascii="Times New Roman" w:hAnsi="Times New Roman" w:cs="Times New Roman"/>
          <w:i/>
          <w:sz w:val="24"/>
          <w:szCs w:val="24"/>
        </w:rPr>
        <w:t>trazendo para o procedimento todas as provas relativas à situação fáctica em que vai assentar a sua decisão, mesmo que desfavoráveis aos seus interesses patrimoniais</w:t>
      </w:r>
      <w:r w:rsidRPr="00E654E0">
        <w:rPr>
          <w:rStyle w:val="Refdenotaderodap"/>
          <w:rFonts w:ascii="Times New Roman" w:hAnsi="Times New Roman" w:cs="Times New Roman"/>
          <w:i/>
          <w:sz w:val="24"/>
          <w:szCs w:val="24"/>
        </w:rPr>
        <w:footnoteReference w:id="14"/>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justifica-se por motivos de justiça tributária e descoberta da verdade material.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w:t>
      </w:r>
      <w:r w:rsidRPr="00E654E0">
        <w:rPr>
          <w:rFonts w:ascii="Times New Roman" w:hAnsi="Times New Roman" w:cs="Times New Roman"/>
          <w:i/>
          <w:sz w:val="24"/>
          <w:szCs w:val="24"/>
        </w:rPr>
        <w:t>princípio da verdade material</w:t>
      </w:r>
      <w:r w:rsidRPr="00E654E0">
        <w:rPr>
          <w:rFonts w:ascii="Times New Roman" w:hAnsi="Times New Roman" w:cs="Times New Roman"/>
          <w:sz w:val="24"/>
          <w:szCs w:val="24"/>
        </w:rPr>
        <w:t xml:space="preserve"> não é um princípio exclusivo do procedimento tributário, encontra consagração legal também no direito processual penal e no direito processual civil.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que se pretende com este princípio é a descoberta da realidade dos factos, procurando-se </w:t>
      </w:r>
      <w:r w:rsidRPr="00E654E0">
        <w:rPr>
          <w:rFonts w:ascii="Times New Roman" w:hAnsi="Times New Roman" w:cs="Times New Roman"/>
          <w:i/>
          <w:sz w:val="24"/>
          <w:szCs w:val="24"/>
        </w:rPr>
        <w:t>alcançar uma tributação ou não tributação que corresponda à verdade material</w:t>
      </w:r>
      <w:r w:rsidRPr="00E654E0">
        <w:rPr>
          <w:rStyle w:val="Refdenotaderodap"/>
          <w:rFonts w:ascii="Times New Roman" w:hAnsi="Times New Roman" w:cs="Times New Roman"/>
          <w:i/>
          <w:sz w:val="24"/>
          <w:szCs w:val="24"/>
        </w:rPr>
        <w:footnoteReference w:id="15"/>
      </w:r>
      <w:r w:rsidRPr="00E654E0">
        <w:rPr>
          <w:rFonts w:ascii="Times New Roman" w:hAnsi="Times New Roman" w:cs="Times New Roman"/>
          <w:i/>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 avaliação indireta surgiu em defesa dos princípios que acabamos de enunciar. É um método de combate à evasão fiscal, de garantia do cumprimento generalizado das obrigações fiscais, impedindo a criação de </w:t>
      </w:r>
      <w:r w:rsidRPr="00E654E0">
        <w:rPr>
          <w:rFonts w:ascii="Times New Roman" w:hAnsi="Times New Roman" w:cs="Times New Roman"/>
          <w:i/>
          <w:sz w:val="24"/>
          <w:szCs w:val="24"/>
        </w:rPr>
        <w:t>privilégios constitucionalmente ilícitos</w:t>
      </w:r>
      <w:r w:rsidRPr="00E654E0">
        <w:rPr>
          <w:rStyle w:val="Refdenotaderodap"/>
          <w:rFonts w:ascii="Times New Roman" w:hAnsi="Times New Roman" w:cs="Times New Roman"/>
          <w:i/>
          <w:sz w:val="24"/>
          <w:szCs w:val="24"/>
        </w:rPr>
        <w:footnoteReference w:id="16"/>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Sem a existência de um método indireto, capaz de determinar o rendimento daqueles que tentam escapar ao seu dever de contribuição para o Estado Social, criaríamos situações de injustiça e desigualdade. É, em defesa dos contribuintes que pontualmente e de forma rigorosa cumprem o seu dever de pagar impostos, perante a disponibilização à Administração Tributária de declarações credíveis dos seus rendimentos, que se criou uma forma de liquidação oficiosa, da competência da Administração Tributária, liquidação essa de carácter excecional, taxativo e subsidiária</w:t>
      </w:r>
      <w:r>
        <w:rPr>
          <w:rFonts w:ascii="Times New Roman" w:hAnsi="Times New Roman" w:cs="Times New Roman"/>
          <w:sz w:val="24"/>
          <w:szCs w:val="24"/>
        </w:rPr>
        <w:t xml:space="preserve"> aos métodos declarativos.</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Não se pretendeu com aquele método facultar à Administração uma maior discricionariedade na fixação da matéria tributável e uma intromissão desmesurada na vida dos particulares. CASALTA NABAIS afirma que </w:t>
      </w:r>
      <w:r w:rsidRPr="00E654E0">
        <w:rPr>
          <w:rFonts w:ascii="Times New Roman" w:hAnsi="Times New Roman" w:cs="Times New Roman"/>
          <w:i/>
          <w:sz w:val="24"/>
          <w:szCs w:val="24"/>
        </w:rPr>
        <w:t>os impostos são um preço, o preço que pagamos por termos a sociedade que temos</w:t>
      </w:r>
      <w:r w:rsidRPr="00E654E0">
        <w:rPr>
          <w:rStyle w:val="Refdenotaderodap"/>
          <w:rFonts w:ascii="Times New Roman" w:hAnsi="Times New Roman" w:cs="Times New Roman"/>
          <w:i/>
          <w:sz w:val="24"/>
          <w:szCs w:val="24"/>
        </w:rPr>
        <w:footnoteReference w:id="17"/>
      </w:r>
      <w:r w:rsidRPr="00E654E0">
        <w:rPr>
          <w:rFonts w:ascii="Times New Roman" w:hAnsi="Times New Roman" w:cs="Times New Roman"/>
          <w:sz w:val="24"/>
          <w:szCs w:val="24"/>
        </w:rPr>
        <w:t>, as receitas que são obtidas p</w:t>
      </w:r>
      <w:r>
        <w:rPr>
          <w:rFonts w:ascii="Times New Roman" w:hAnsi="Times New Roman" w:cs="Times New Roman"/>
          <w:sz w:val="24"/>
          <w:szCs w:val="24"/>
        </w:rPr>
        <w:t>elo Estado por meio de impostos,</w:t>
      </w:r>
      <w:r w:rsidRPr="00E654E0">
        <w:rPr>
          <w:rFonts w:ascii="Times New Roman" w:hAnsi="Times New Roman" w:cs="Times New Roman"/>
          <w:sz w:val="24"/>
          <w:szCs w:val="24"/>
        </w:rPr>
        <w:t xml:space="preserve"> visam a criação e produção de bens públicos, o que se pretende é garantir que todos contribuem para a manutenção desses bens consoante a sua capacidade contributiva. </w:t>
      </w:r>
      <w:r w:rsidRPr="00E654E0">
        <w:rPr>
          <w:rFonts w:ascii="Times New Roman" w:hAnsi="Times New Roman" w:cs="Times New Roman"/>
          <w:sz w:val="24"/>
          <w:szCs w:val="24"/>
        </w:rPr>
        <w:tab/>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Apenas através de uma eficiente atuação da Administração Tributária - limitada pela prossecução do interesse público e respeito pelos direitos fundamentais dos contribuintes</w:t>
      </w:r>
      <w:r w:rsidRPr="00E654E0">
        <w:rPr>
          <w:rStyle w:val="Refdenotaderodap"/>
          <w:rFonts w:ascii="Times New Roman" w:hAnsi="Times New Roman" w:cs="Times New Roman"/>
          <w:sz w:val="24"/>
          <w:szCs w:val="24"/>
        </w:rPr>
        <w:footnoteReference w:id="18"/>
      </w:r>
      <w:r w:rsidRPr="00E654E0">
        <w:rPr>
          <w:rFonts w:ascii="Times New Roman" w:hAnsi="Times New Roman" w:cs="Times New Roman"/>
          <w:sz w:val="24"/>
          <w:szCs w:val="24"/>
        </w:rPr>
        <w:t>- e uma correta distribuição dos encargos tributários pela coletividade</w:t>
      </w:r>
      <w:r>
        <w:rPr>
          <w:rFonts w:ascii="Times New Roman" w:hAnsi="Times New Roman" w:cs="Times New Roman"/>
          <w:sz w:val="24"/>
          <w:szCs w:val="24"/>
        </w:rPr>
        <w:t>,</w:t>
      </w:r>
      <w:r w:rsidRPr="00E654E0">
        <w:rPr>
          <w:rFonts w:ascii="Times New Roman" w:hAnsi="Times New Roman" w:cs="Times New Roman"/>
          <w:sz w:val="24"/>
          <w:szCs w:val="24"/>
        </w:rPr>
        <w:t xml:space="preserve"> consoante a sua capacidade contributiva, é que se conseguirá um sistema fiscal sustentável e justo.</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avaliação direta é aquilo a que se chama de autoliquidação, surge do cumprimento do dever de declaração a que está sujeito o contribuinte e atribui à Administração Tributária apenas a tarefa de comprovação das declarações feitas pelo sujeito passivo. Este método de determinação da matéria tributável, a crescente normatização da relação tributária, através da criação de indicadores objetivos, e a necessidade de fundamentação </w:t>
      </w:r>
      <w:r w:rsidRPr="00E654E0">
        <w:rPr>
          <w:rFonts w:ascii="Times New Roman" w:hAnsi="Times New Roman" w:cs="Times New Roman"/>
          <w:i/>
          <w:sz w:val="24"/>
          <w:szCs w:val="24"/>
        </w:rPr>
        <w:t>expressa e acessível</w:t>
      </w:r>
      <w:r w:rsidRPr="00E654E0">
        <w:rPr>
          <w:rStyle w:val="Refdenotaderodap"/>
          <w:rFonts w:ascii="Times New Roman" w:hAnsi="Times New Roman" w:cs="Times New Roman"/>
          <w:sz w:val="24"/>
          <w:szCs w:val="24"/>
        </w:rPr>
        <w:footnoteReference w:id="19"/>
      </w:r>
      <w:r w:rsidRPr="00E654E0">
        <w:rPr>
          <w:rFonts w:ascii="Times New Roman" w:hAnsi="Times New Roman" w:cs="Times New Roman"/>
          <w:sz w:val="24"/>
          <w:szCs w:val="24"/>
        </w:rPr>
        <w:t xml:space="preserve"> de todos os atos que a Administração Tributária pratique, vieram permitir um maior controlo por parte do tribunal da atuação da Administração, diminuindo a sua margem de livre apreciação dos factos e os poderes que inicialmente</w:t>
      </w:r>
      <w:r>
        <w:rPr>
          <w:rFonts w:ascii="Times New Roman" w:hAnsi="Times New Roman" w:cs="Times New Roman"/>
          <w:sz w:val="24"/>
          <w:szCs w:val="24"/>
        </w:rPr>
        <w:t xml:space="preserve"> lhe</w:t>
      </w:r>
      <w:r w:rsidRPr="00E654E0">
        <w:rPr>
          <w:rFonts w:ascii="Times New Roman" w:hAnsi="Times New Roman" w:cs="Times New Roman"/>
          <w:sz w:val="24"/>
          <w:szCs w:val="24"/>
        </w:rPr>
        <w:t xml:space="preserve"> foram conferidos para determinação da obrigação fiscal. A Administração Tributária intervém, hoje, em matéria de impostos, apenas a título subsidiário e excecional, nas situações em que consiga ilidir a presunção de veracidade a que estão sujeitas as declarações dos contribuintes</w:t>
      </w:r>
      <w:r w:rsidRPr="00E654E0">
        <w:rPr>
          <w:rStyle w:val="Refdenotaderodap"/>
          <w:rFonts w:ascii="Times New Roman" w:hAnsi="Times New Roman" w:cs="Times New Roman"/>
          <w:sz w:val="24"/>
          <w:szCs w:val="24"/>
        </w:rPr>
        <w:footnoteReference w:id="20"/>
      </w:r>
      <w:r w:rsidRPr="00E654E0">
        <w:rPr>
          <w:rFonts w:ascii="Times New Roman" w:hAnsi="Times New Roman" w:cs="Times New Roman"/>
          <w:sz w:val="24"/>
          <w:szCs w:val="24"/>
        </w:rPr>
        <w:t xml:space="preserve">. Só através da </w:t>
      </w:r>
      <w:r w:rsidRPr="00E654E0">
        <w:rPr>
          <w:rFonts w:ascii="Times New Roman" w:hAnsi="Times New Roman" w:cs="Times New Roman"/>
          <w:i/>
          <w:sz w:val="24"/>
          <w:szCs w:val="24"/>
        </w:rPr>
        <w:t>demonstração de omissões, erros, inexatidões ou outros indícios fundados</w:t>
      </w:r>
      <w:r w:rsidRPr="00E654E0">
        <w:rPr>
          <w:rStyle w:val="Refdenotaderodap"/>
          <w:rFonts w:ascii="Times New Roman" w:hAnsi="Times New Roman" w:cs="Times New Roman"/>
          <w:i/>
          <w:sz w:val="24"/>
          <w:szCs w:val="24"/>
        </w:rPr>
        <w:footnoteReference w:id="21"/>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 xml:space="preserve">que permitam destruir o valor probatório atribuído por lei às declarações do sujeito passivo, é que a Administração Tributária poderá recorrer a métodos indiretos como forma de quantificação da obrigação fiscal.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Sempre que o contribuinte não cumpre ou cumpre de forma defeituosa o seu dever de declaração, aumenta os poderes da Administração, dá-lhe legitimidade para</w:t>
      </w:r>
      <w:r>
        <w:rPr>
          <w:rFonts w:ascii="Times New Roman" w:hAnsi="Times New Roman" w:cs="Times New Roman"/>
          <w:sz w:val="24"/>
          <w:szCs w:val="24"/>
        </w:rPr>
        <w:t xml:space="preserve"> se</w:t>
      </w:r>
      <w:r w:rsidRPr="00E654E0">
        <w:rPr>
          <w:rFonts w:ascii="Times New Roman" w:hAnsi="Times New Roman" w:cs="Times New Roman"/>
          <w:sz w:val="24"/>
          <w:szCs w:val="24"/>
        </w:rPr>
        <w:t xml:space="preserve"> </w:t>
      </w:r>
      <w:r>
        <w:rPr>
          <w:rFonts w:ascii="Times New Roman" w:hAnsi="Times New Roman" w:cs="Times New Roman"/>
          <w:sz w:val="24"/>
          <w:szCs w:val="24"/>
        </w:rPr>
        <w:t>intrometer</w:t>
      </w:r>
      <w:r w:rsidRPr="00E654E0">
        <w:rPr>
          <w:rFonts w:ascii="Times New Roman" w:hAnsi="Times New Roman" w:cs="Times New Roman"/>
          <w:sz w:val="24"/>
          <w:szCs w:val="24"/>
        </w:rPr>
        <w:t xml:space="preserve"> na sua esfera privada e modificar a sua declaração, transferindo, deste modo, para si</w:t>
      </w:r>
      <w:r>
        <w:rPr>
          <w:rFonts w:ascii="Times New Roman" w:hAnsi="Times New Roman" w:cs="Times New Roman"/>
          <w:sz w:val="24"/>
          <w:szCs w:val="24"/>
        </w:rPr>
        <w:t>,</w:t>
      </w:r>
      <w:r w:rsidRPr="00E654E0">
        <w:rPr>
          <w:rFonts w:ascii="Times New Roman" w:hAnsi="Times New Roman" w:cs="Times New Roman"/>
          <w:sz w:val="24"/>
          <w:szCs w:val="24"/>
        </w:rPr>
        <w:t xml:space="preserve"> o ónus da prova.</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 xml:space="preserve">Nos casos de avaliação indireta, em que a tributação é feita tendo por suporte provas circunstanciais, </w:t>
      </w:r>
      <w:r w:rsidRPr="00E654E0">
        <w:rPr>
          <w:rFonts w:ascii="Times New Roman" w:hAnsi="Times New Roman" w:cs="Times New Roman"/>
          <w:i/>
          <w:sz w:val="24"/>
          <w:szCs w:val="24"/>
        </w:rPr>
        <w:t>renuncia-se à exigência de certeza como condição de produção de um ato e aceitam-se formas menos seguras</w:t>
      </w:r>
      <w:r w:rsidRPr="00E654E0">
        <w:rPr>
          <w:rFonts w:ascii="Times New Roman" w:hAnsi="Times New Roman" w:cs="Times New Roman"/>
          <w:sz w:val="24"/>
          <w:szCs w:val="24"/>
        </w:rPr>
        <w:t xml:space="preserve"> – indícios e presunções </w:t>
      </w:r>
      <w:r w:rsidRPr="00E654E0">
        <w:rPr>
          <w:rFonts w:ascii="Times New Roman" w:hAnsi="Times New Roman" w:cs="Times New Roman"/>
          <w:i/>
          <w:sz w:val="24"/>
          <w:szCs w:val="24"/>
        </w:rPr>
        <w:t>- para reconstituir o facto tributável</w:t>
      </w:r>
      <w:r w:rsidRPr="00E654E0">
        <w:rPr>
          <w:rStyle w:val="Refdenotaderodap"/>
          <w:rFonts w:ascii="Times New Roman" w:hAnsi="Times New Roman" w:cs="Times New Roman"/>
          <w:i/>
          <w:sz w:val="24"/>
          <w:szCs w:val="24"/>
        </w:rPr>
        <w:footnoteReference w:id="22"/>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i/>
          <w:sz w:val="24"/>
          <w:szCs w:val="24"/>
        </w:rPr>
      </w:pPr>
    </w:p>
    <w:p w:rsidR="00036D26" w:rsidRPr="00E654E0" w:rsidRDefault="00036D26" w:rsidP="00036D26">
      <w:pPr>
        <w:pStyle w:val="Cabealho1"/>
        <w:spacing w:line="360" w:lineRule="auto"/>
        <w:jc w:val="both"/>
        <w:rPr>
          <w:rFonts w:ascii="Times New Roman" w:hAnsi="Times New Roman" w:cs="Times New Roman"/>
          <w:color w:val="auto"/>
          <w:sz w:val="24"/>
          <w:szCs w:val="24"/>
        </w:rPr>
      </w:pPr>
      <w:r w:rsidRPr="00E654E0">
        <w:rPr>
          <w:rFonts w:ascii="Times New Roman" w:hAnsi="Times New Roman" w:cs="Times New Roman"/>
          <w:sz w:val="24"/>
          <w:szCs w:val="24"/>
        </w:rPr>
        <w:tab/>
      </w:r>
      <w:bookmarkStart w:id="4" w:name="_Toc483610329"/>
      <w:r w:rsidRPr="00E654E0">
        <w:rPr>
          <w:rFonts w:ascii="Times New Roman" w:hAnsi="Times New Roman" w:cs="Times New Roman"/>
          <w:color w:val="auto"/>
          <w:sz w:val="24"/>
          <w:szCs w:val="24"/>
        </w:rPr>
        <w:t>1.2. Caráter Excecional, Subsidiário e Taxativo</w:t>
      </w:r>
      <w:bookmarkEnd w:id="4"/>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artigo 81.º número 1 da Lei Geral Tributária refere que a matéria tributável é avaliada ou calculada diretamente segundo os critérios próprios de cada tributo. A utilização dos termos avaliação e cálculo, segundo DIOGO LEITE CAMPOS, BENJAMIM SILVA RODRIGUES e JORGE LOPES DE SOUSA não surge por mero acaso. O termo </w:t>
      </w:r>
      <w:r w:rsidRPr="00E654E0">
        <w:rPr>
          <w:rFonts w:ascii="Times New Roman" w:hAnsi="Times New Roman" w:cs="Times New Roman"/>
          <w:i/>
          <w:sz w:val="24"/>
          <w:szCs w:val="24"/>
        </w:rPr>
        <w:t>cálculo</w:t>
      </w:r>
      <w:r w:rsidRPr="00E654E0">
        <w:rPr>
          <w:rFonts w:ascii="Times New Roman" w:hAnsi="Times New Roman" w:cs="Times New Roman"/>
          <w:sz w:val="24"/>
          <w:szCs w:val="24"/>
        </w:rPr>
        <w:t xml:space="preserve"> encontra-se reservado para os métodos objetivos de determinação da matéria tributável, em que a Administração Tributária limita-se a comprovar os elementos fornecidos pelo sujeito passivo, </w:t>
      </w:r>
      <w:r w:rsidRPr="00E654E0">
        <w:rPr>
          <w:rFonts w:ascii="Times New Roman" w:hAnsi="Times New Roman" w:cs="Times New Roman"/>
          <w:i/>
          <w:sz w:val="24"/>
          <w:szCs w:val="24"/>
        </w:rPr>
        <w:t>como contabilidade e respetiva documentação</w:t>
      </w:r>
      <w:r w:rsidRPr="00E654E0">
        <w:rPr>
          <w:rStyle w:val="Refdenotaderodap"/>
          <w:rFonts w:ascii="Times New Roman" w:hAnsi="Times New Roman" w:cs="Times New Roman"/>
          <w:i/>
          <w:sz w:val="24"/>
          <w:szCs w:val="24"/>
        </w:rPr>
        <w:footnoteReference w:id="23"/>
      </w:r>
      <w:r w:rsidRPr="00E654E0">
        <w:rPr>
          <w:rFonts w:ascii="Times New Roman" w:hAnsi="Times New Roman" w:cs="Times New Roman"/>
          <w:sz w:val="24"/>
          <w:szCs w:val="24"/>
        </w:rPr>
        <w:t xml:space="preserve">; por sua vez, a </w:t>
      </w:r>
      <w:r w:rsidRPr="00E654E0">
        <w:rPr>
          <w:rFonts w:ascii="Times New Roman" w:hAnsi="Times New Roman" w:cs="Times New Roman"/>
          <w:i/>
          <w:sz w:val="24"/>
          <w:szCs w:val="24"/>
        </w:rPr>
        <w:t>avaliação</w:t>
      </w:r>
      <w:r w:rsidRPr="00E654E0">
        <w:rPr>
          <w:rFonts w:ascii="Times New Roman" w:hAnsi="Times New Roman" w:cs="Times New Roman"/>
          <w:sz w:val="24"/>
          <w:szCs w:val="24"/>
        </w:rPr>
        <w:t xml:space="preserve"> reflete a atividade da Administração no momento de fixação do valor sujeito a tributação por métodos indiretos. Neste último caso,</w:t>
      </w:r>
      <w:r>
        <w:rPr>
          <w:rFonts w:ascii="Times New Roman" w:hAnsi="Times New Roman" w:cs="Times New Roman"/>
          <w:sz w:val="24"/>
          <w:szCs w:val="24"/>
        </w:rPr>
        <w:t xml:space="preserve"> devido à</w:t>
      </w:r>
      <w:r w:rsidRPr="00E654E0">
        <w:rPr>
          <w:rFonts w:ascii="Times New Roman" w:hAnsi="Times New Roman" w:cs="Times New Roman"/>
          <w:sz w:val="24"/>
          <w:szCs w:val="24"/>
        </w:rPr>
        <w:t xml:space="preserve"> falta d</w:t>
      </w:r>
      <w:r>
        <w:rPr>
          <w:rFonts w:ascii="Times New Roman" w:hAnsi="Times New Roman" w:cs="Times New Roman"/>
          <w:sz w:val="24"/>
          <w:szCs w:val="24"/>
        </w:rPr>
        <w:t>e elementos objetivos credíveis</w:t>
      </w:r>
      <w:r w:rsidRPr="00E654E0">
        <w:rPr>
          <w:rFonts w:ascii="Times New Roman" w:hAnsi="Times New Roman" w:cs="Times New Roman"/>
          <w:sz w:val="24"/>
          <w:szCs w:val="24"/>
        </w:rPr>
        <w:t xml:space="preserve"> que traduzam o rendimento real do contribuinte, a Administração Tributária recorre à </w:t>
      </w:r>
      <w:r w:rsidRPr="00E654E0">
        <w:rPr>
          <w:rFonts w:ascii="Times New Roman" w:hAnsi="Times New Roman" w:cs="Times New Roman"/>
          <w:i/>
          <w:sz w:val="24"/>
          <w:szCs w:val="24"/>
        </w:rPr>
        <w:t>aplicação de elementos de caráter subjetivo</w:t>
      </w:r>
      <w:r w:rsidRPr="00E654E0">
        <w:rPr>
          <w:rStyle w:val="Refdenotaderodap"/>
          <w:rFonts w:ascii="Times New Roman" w:hAnsi="Times New Roman" w:cs="Times New Roman"/>
          <w:i/>
          <w:sz w:val="24"/>
          <w:szCs w:val="24"/>
        </w:rPr>
        <w:footnoteReference w:id="24"/>
      </w:r>
      <w:r w:rsidRPr="00E654E0">
        <w:rPr>
          <w:rFonts w:ascii="Times New Roman" w:hAnsi="Times New Roman" w:cs="Times New Roman"/>
          <w:i/>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Por imposição constitucional, a tributação deverá incidir fundamentalmente sobre o rendimento real</w:t>
      </w:r>
      <w:r w:rsidRPr="00E654E0">
        <w:rPr>
          <w:rStyle w:val="Refdenotaderodap"/>
          <w:rFonts w:ascii="Times New Roman" w:hAnsi="Times New Roman" w:cs="Times New Roman"/>
          <w:sz w:val="24"/>
          <w:szCs w:val="24"/>
        </w:rPr>
        <w:footnoteReference w:id="25"/>
      </w:r>
      <w:r w:rsidRPr="00E654E0">
        <w:rPr>
          <w:rFonts w:ascii="Times New Roman" w:hAnsi="Times New Roman" w:cs="Times New Roman"/>
          <w:sz w:val="24"/>
          <w:szCs w:val="24"/>
        </w:rPr>
        <w:t>. O método que permite um maior rigor e uma maior proximidade daquela que é a matéria coletável real do contribuint</w:t>
      </w:r>
      <w:r>
        <w:rPr>
          <w:rFonts w:ascii="Times New Roman" w:hAnsi="Times New Roman" w:cs="Times New Roman"/>
          <w:sz w:val="24"/>
          <w:szCs w:val="24"/>
        </w:rPr>
        <w:t>e é o método direto. Sendo este</w:t>
      </w:r>
      <w:r w:rsidRPr="00E654E0">
        <w:rPr>
          <w:rFonts w:ascii="Times New Roman" w:hAnsi="Times New Roman" w:cs="Times New Roman"/>
          <w:sz w:val="24"/>
          <w:szCs w:val="24"/>
        </w:rPr>
        <w:t xml:space="preserve"> o método-regra de determinação da matéria tributável, a avaliação indireta, por envolver alguma discricionariedade por parte da Administração Tributária, só deverá ser utilizada nos casos e condições expressamente previstos na lei</w:t>
      </w:r>
      <w:r w:rsidRPr="00E654E0">
        <w:rPr>
          <w:rStyle w:val="Refdenotaderodap"/>
          <w:rFonts w:ascii="Times New Roman" w:hAnsi="Times New Roman" w:cs="Times New Roman"/>
          <w:sz w:val="24"/>
          <w:szCs w:val="24"/>
        </w:rPr>
        <w:footnoteReference w:id="26"/>
      </w:r>
      <w:r w:rsidRPr="00E654E0">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Sendo certo, que a avaliação direta, por não envolver a utilização de elementos subjetivos e permitir ao contribuinte um verdadeiro controlo da sua atividade tributária, sendo ele próprio a fixar o rendimento ao qual será aplicável a taxa de imposto para determinação da sua obrigação fiscal, através da apresentação de elementos objetivos, é sempre preferida relativamente a qualquer outro método.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Apesar daquela preferência legal, não pôde, o legislador, sujeitar todo o sistema fiscal unicamente àquele método, uma limitação desta natureza à atividade da Administração Tributária, em defesa dos direitos do contribuinte, criaria situações de desigualdade, quando por motivos egoísticos é claro ou muito provável que o sujeito passivo esteja a evadir-se da sua obrigação de pagar impostos em benefício próprio.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É, assim, em defesa da comunidade e como forma de garantir que todos contribuem, de acordo com a sua capacidade, para o Estado Social, que o legislador permitiu que em situações de impossibilidade de proceder à quantificação do rendimento real do sujeito passivo por métodos declarativos, por motivos imputáveis a si próprio, a Administração Tributária recorresse ao procedimento de avaliação indireta previsto nos artigos 87.º e seguintes da Lei Geral Tributária.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recurso ao método indireto não é arbitrário, não é a Administração Tributária livre de utilizá-lo em qualquer situação, é fruto de um comportamento desajustado do contribuinte e tem de respeitar determinados pressupostos, que ainda que envolvendo elementos subjetivos, permitem que haja um posterior controlo pelo tribunal. Não verificados os pressupostos estabelecidos por lei, não pode a Administração Tributária recorrer à avaliação indireta, sob pena de começarmos a criar situações que tornariam este mecanismo uma forma de sancionar um comportamento do sujeito passivo.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 Administração Tributária tem de começar por demonstrar que as declarações prestadas pelo sujeito passivo não são dignas de mérito e que, como reação a um comportamento seu, impõe-se a reforma da matéria sujeita a imposto, calculada inicialmente pelo contribuinte.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São caraterísticas da avaliação indireta a </w:t>
      </w:r>
      <w:r w:rsidRPr="00E654E0">
        <w:rPr>
          <w:rFonts w:ascii="Times New Roman" w:hAnsi="Times New Roman" w:cs="Times New Roman"/>
          <w:i/>
          <w:sz w:val="24"/>
          <w:szCs w:val="24"/>
        </w:rPr>
        <w:t>excecionalidade, subsidiariedade e taxatividade.</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 artigo 87.º da Lei Geral Tributária faz uma enumeração taxativa dos casos em que se poderá recorrer a elementos subjetivos como forma de determinação do rendimento sujeito a tributação, são eles: </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Regime simplificado de tributação, nos casos e condições previstos na lei;</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Impossibilidade de comprovação e quantificação direta e exata dos elementos indispensáveis à correta determinação da matéria tributável de qualquer imposto;</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A matéria tributável do sujeito passivo se afastar, sem razão justificada, mais de 30% para menos ou, durante três anos seguidos, mais de 15% para menos, da que resultaria da aplicação dos indicadores objetivos da atividade de base técnico-científica referidos na presente lei;</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Os rendimentos declarados em sede de IRS se afastarem significativamente para menos, sem razão justificada, dos padrões de rendimento que razoavelmente possam permitir as manifestações de fortuna evidenciadas pelo sujeito passivo nos termos do artigo 89.º-A;</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Os sujeitos passivos apresentarem, sem razão justificada, resultados tributáveis nulos ou prejuízos fiscais durante três anos consecutivos, salvo nos casos de início de atividade, em que a contagem deste prazo se faz do termo do terceiro ano, ou em três anos durante um período de cinco;</w:t>
      </w:r>
    </w:p>
    <w:p w:rsidR="00036D26" w:rsidRPr="00E654E0" w:rsidRDefault="00036D26" w:rsidP="00036D26">
      <w:pPr>
        <w:pStyle w:val="PargrafodaLista"/>
        <w:numPr>
          <w:ilvl w:val="0"/>
          <w:numId w:val="2"/>
        </w:num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Acréscimo de património ou despesa efetuada, incluindo liberalidades, de valor superior a € 100.000, verificados simultaneamente com a falta de declaração de rendimentos ou com a existência, no mesmo período de tributação, de uma divergência não justificada com os rendimentos declarados.</w:t>
      </w:r>
    </w:p>
    <w:p w:rsidR="00036D26" w:rsidRPr="00E654E0" w:rsidRDefault="00036D26" w:rsidP="00036D26">
      <w:pPr>
        <w:spacing w:line="360" w:lineRule="auto"/>
        <w:ind w:firstLine="705"/>
        <w:jc w:val="both"/>
        <w:rPr>
          <w:rFonts w:ascii="Times New Roman" w:hAnsi="Times New Roman" w:cs="Times New Roman"/>
          <w:i/>
          <w:sz w:val="24"/>
          <w:szCs w:val="24"/>
        </w:rPr>
      </w:pPr>
      <w:r w:rsidRPr="00E654E0">
        <w:rPr>
          <w:rFonts w:ascii="Times New Roman" w:hAnsi="Times New Roman" w:cs="Times New Roman"/>
          <w:sz w:val="24"/>
          <w:szCs w:val="24"/>
        </w:rPr>
        <w:t xml:space="preserve">Na alínea </w:t>
      </w:r>
      <w:r w:rsidRPr="00E654E0">
        <w:rPr>
          <w:rFonts w:ascii="Times New Roman" w:hAnsi="Times New Roman" w:cs="Times New Roman"/>
          <w:i/>
          <w:sz w:val="24"/>
          <w:szCs w:val="24"/>
        </w:rPr>
        <w:t>a)</w:t>
      </w:r>
      <w:r w:rsidRPr="00E654E0">
        <w:rPr>
          <w:rFonts w:ascii="Times New Roman" w:hAnsi="Times New Roman" w:cs="Times New Roman"/>
          <w:sz w:val="24"/>
          <w:szCs w:val="24"/>
        </w:rPr>
        <w:t xml:space="preserve"> temos um regime que é aplicável por vontade do contribuinte. É ele que deliberadamente opta pela aplicação de um método baseado em estimativas e ou presunções legais em detrimento da avaliação direta. </w:t>
      </w:r>
      <w:r w:rsidRPr="00E654E0">
        <w:rPr>
          <w:rFonts w:ascii="Times New Roman" w:hAnsi="Times New Roman" w:cs="Times New Roman"/>
          <w:i/>
          <w:sz w:val="24"/>
          <w:szCs w:val="24"/>
        </w:rPr>
        <w:t>Nestes casos o recurso a métodos indiretos não resulta de um comportamento desconforme do sujeito passivo, mas sim da sua vontade de afastamento de uma tributação de acordo com o seu rendimento real em benefício de uma tributação com base em presunções</w:t>
      </w:r>
      <w:r w:rsidRPr="00E654E0">
        <w:rPr>
          <w:rStyle w:val="Refdenotaderodap"/>
          <w:rFonts w:ascii="Times New Roman" w:hAnsi="Times New Roman" w:cs="Times New Roman"/>
          <w:i/>
          <w:sz w:val="24"/>
          <w:szCs w:val="24"/>
        </w:rPr>
        <w:footnoteReference w:id="27"/>
      </w:r>
      <w:r w:rsidRPr="00E654E0">
        <w:rPr>
          <w:rFonts w:ascii="Times New Roman" w:hAnsi="Times New Roman" w:cs="Times New Roman"/>
          <w:i/>
          <w:sz w:val="24"/>
          <w:szCs w:val="24"/>
        </w:rPr>
        <w:t xml:space="preserve">.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 xml:space="preserve">A alínea </w:t>
      </w:r>
      <w:r w:rsidRPr="00E654E0">
        <w:rPr>
          <w:rFonts w:ascii="Times New Roman" w:hAnsi="Times New Roman" w:cs="Times New Roman"/>
          <w:i/>
          <w:sz w:val="24"/>
          <w:szCs w:val="24"/>
        </w:rPr>
        <w:t>b)</w:t>
      </w:r>
      <w:r w:rsidRPr="00E654E0">
        <w:rPr>
          <w:rFonts w:ascii="Times New Roman" w:hAnsi="Times New Roman" w:cs="Times New Roman"/>
          <w:sz w:val="24"/>
          <w:szCs w:val="24"/>
        </w:rPr>
        <w:t xml:space="preserve"> daquele artigo remete para o artigo 88.º da referida lei, onde se expõe todas as situações que poderão inviabilizar o apuramento da matéria tributável por mero cálculo.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Não tem de haver uma impossibilidade absoluta para</w:t>
      </w:r>
      <w:r>
        <w:rPr>
          <w:rFonts w:ascii="Times New Roman" w:hAnsi="Times New Roman" w:cs="Times New Roman"/>
          <w:sz w:val="24"/>
          <w:szCs w:val="24"/>
        </w:rPr>
        <w:t xml:space="preserve"> que a</w:t>
      </w:r>
      <w:r w:rsidRPr="00E654E0">
        <w:rPr>
          <w:rFonts w:ascii="Times New Roman" w:hAnsi="Times New Roman" w:cs="Times New Roman"/>
          <w:sz w:val="24"/>
          <w:szCs w:val="24"/>
        </w:rPr>
        <w:t xml:space="preserve"> Administração Tributária</w:t>
      </w:r>
      <w:r>
        <w:rPr>
          <w:rFonts w:ascii="Times New Roman" w:hAnsi="Times New Roman" w:cs="Times New Roman"/>
          <w:sz w:val="24"/>
          <w:szCs w:val="24"/>
        </w:rPr>
        <w:t xml:space="preserve"> possa</w:t>
      </w:r>
      <w:r w:rsidRPr="00E654E0">
        <w:rPr>
          <w:rFonts w:ascii="Times New Roman" w:hAnsi="Times New Roman" w:cs="Times New Roman"/>
          <w:sz w:val="24"/>
          <w:szCs w:val="24"/>
        </w:rPr>
        <w:t xml:space="preserve"> recorrer à aplicação de indícios e presunções como forma de determinação da matéria tributável, basta que o sujeito passivo manifeste a sua vontade de não cooperar ou coopere defeituosamente</w:t>
      </w:r>
      <w:r w:rsidRPr="00E654E0">
        <w:rPr>
          <w:rStyle w:val="Refdenotaderodap"/>
          <w:rFonts w:ascii="Times New Roman" w:hAnsi="Times New Roman" w:cs="Times New Roman"/>
          <w:sz w:val="24"/>
          <w:szCs w:val="24"/>
        </w:rPr>
        <w:footnoteReference w:id="28"/>
      </w:r>
      <w:r w:rsidRPr="00E654E0">
        <w:rPr>
          <w:rFonts w:ascii="Times New Roman" w:hAnsi="Times New Roman" w:cs="Times New Roman"/>
          <w:sz w:val="24"/>
          <w:szCs w:val="24"/>
        </w:rPr>
        <w:t>, no momento em que essa determinação deve ser levada a cabo.</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 xml:space="preserve">Nos casos da alínea </w:t>
      </w:r>
      <w:r w:rsidRPr="00E654E0">
        <w:rPr>
          <w:rFonts w:ascii="Times New Roman" w:hAnsi="Times New Roman" w:cs="Times New Roman"/>
          <w:i/>
          <w:sz w:val="24"/>
          <w:szCs w:val="24"/>
        </w:rPr>
        <w:t>c)</w:t>
      </w:r>
      <w:r w:rsidRPr="00E654E0">
        <w:rPr>
          <w:rFonts w:ascii="Times New Roman" w:hAnsi="Times New Roman" w:cs="Times New Roman"/>
          <w:sz w:val="24"/>
          <w:szCs w:val="24"/>
        </w:rPr>
        <w:t xml:space="preserve"> é aplicável o artigo 89.º da Lei Geral Tributária, que nos diz que a avaliação indireta só se aplica nos casos em que o sujeito passivo não apresentar na declaração em que a liquidação se baseia as razões que justificam um rendimento manifestamente inferior àquele que resultaria da aplicação de indicadores objetivos de atividade de base técnico-científica e após decorridos mais de três anos desde o início da sua atividade.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 xml:space="preserve">Na alínea </w:t>
      </w:r>
      <w:r w:rsidRPr="00E654E0">
        <w:rPr>
          <w:rFonts w:ascii="Times New Roman" w:hAnsi="Times New Roman" w:cs="Times New Roman"/>
          <w:i/>
          <w:sz w:val="24"/>
          <w:szCs w:val="24"/>
        </w:rPr>
        <w:t>d),</w:t>
      </w:r>
      <w:r w:rsidRPr="00E654E0">
        <w:rPr>
          <w:rFonts w:ascii="Times New Roman" w:hAnsi="Times New Roman" w:cs="Times New Roman"/>
          <w:sz w:val="24"/>
          <w:szCs w:val="24"/>
        </w:rPr>
        <w:t xml:space="preserve"> apresentada ou não declaração de rendimentos pelo contribuinte, poderá a Administração Tributári</w:t>
      </w:r>
      <w:r>
        <w:rPr>
          <w:rFonts w:ascii="Times New Roman" w:hAnsi="Times New Roman" w:cs="Times New Roman"/>
          <w:sz w:val="24"/>
          <w:szCs w:val="24"/>
        </w:rPr>
        <w:t>a recorrer à avaliação indireta</w:t>
      </w:r>
      <w:r w:rsidRPr="00E654E0">
        <w:rPr>
          <w:rFonts w:ascii="Times New Roman" w:hAnsi="Times New Roman" w:cs="Times New Roman"/>
          <w:sz w:val="24"/>
          <w:szCs w:val="24"/>
        </w:rPr>
        <w:t xml:space="preserve"> quando aquele evidencie as manifestações de fortuna previstas no artigo 89.º-A número 4 da Lei Geral Tributária. Os bens a ter em consideração pela Administração Tributária, para aplicação da tabela daquele número 4, estão previstos no número 2 do mesmo artigo.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Ainda relativamente àquela alínea, verificados os pressupostos para a sua aplicação, inverte-se o ónus da prova, determinando o número 3 do artigo 89.º-A a necessidade de comprovação pelo sujeito passivo de que correspondem à realidade os rendimentos declarados e de que é outra a fonte das manifestações de fortuna ou do acréscimo de património ou da despesa efetuada. Para além de ter de demonstrar que detinha proventos que não tinham de ser declarados para efeitos de imposto sobre o rendimento, tem também de fazer prova de que as manifestações de fortuna foram efetivamente asseguradas com aqueles bens</w:t>
      </w:r>
      <w:r w:rsidRPr="00E654E0">
        <w:rPr>
          <w:rStyle w:val="Refdenotaderodap"/>
          <w:rFonts w:ascii="Times New Roman" w:hAnsi="Times New Roman" w:cs="Times New Roman"/>
          <w:sz w:val="24"/>
          <w:szCs w:val="24"/>
        </w:rPr>
        <w:footnoteReference w:id="29"/>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A demonstração de que uma parte dos rendimentos que asseguraram a manifestação de fortuna não tinham de ser declarados, não afasta a aplicação da avaliação indireta, é deduzido esse valor no momento de quantificação da matéria tributável por métodos indiretos</w:t>
      </w:r>
      <w:r w:rsidRPr="00E654E0">
        <w:rPr>
          <w:rStyle w:val="Refdenotaderodap"/>
          <w:rFonts w:ascii="Times New Roman" w:hAnsi="Times New Roman" w:cs="Times New Roman"/>
          <w:sz w:val="24"/>
          <w:szCs w:val="24"/>
        </w:rPr>
        <w:footnoteReference w:id="30"/>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Tal como iremos ver mais adiante, a consequência de inversão do ónus da prova não é específica desta alínea, ainda que a regra seja a presunção de veracidade das declarações prestadas pelo contribuinte</w:t>
      </w:r>
      <w:r w:rsidRPr="00E654E0">
        <w:rPr>
          <w:rStyle w:val="Refdenotaderodap"/>
          <w:rFonts w:ascii="Times New Roman" w:hAnsi="Times New Roman" w:cs="Times New Roman"/>
          <w:sz w:val="24"/>
          <w:szCs w:val="24"/>
        </w:rPr>
        <w:footnoteReference w:id="31"/>
      </w:r>
      <w:r w:rsidRPr="00E654E0">
        <w:rPr>
          <w:rFonts w:ascii="Times New Roman" w:hAnsi="Times New Roman" w:cs="Times New Roman"/>
          <w:sz w:val="24"/>
          <w:szCs w:val="24"/>
        </w:rPr>
        <w:t xml:space="preserve">, o incumprimento do seu dever de colaboração também tem como consequência a inversão do ónus da prova. </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 xml:space="preserve">A alínea </w:t>
      </w:r>
      <w:r w:rsidRPr="00E654E0">
        <w:rPr>
          <w:rFonts w:ascii="Times New Roman" w:hAnsi="Times New Roman" w:cs="Times New Roman"/>
          <w:i/>
          <w:sz w:val="24"/>
          <w:szCs w:val="24"/>
        </w:rPr>
        <w:t>e)</w:t>
      </w:r>
      <w:r w:rsidRPr="00E654E0">
        <w:rPr>
          <w:rFonts w:ascii="Times New Roman" w:hAnsi="Times New Roman" w:cs="Times New Roman"/>
          <w:sz w:val="24"/>
          <w:szCs w:val="24"/>
        </w:rPr>
        <w:t xml:space="preserve"> trata das situações, em que sem qualquer razão aparente, os sujeitos passivos apresentam resultados tributários nulos ou prejuízos fiscais, após três anos do início da atividade e durante três anos consecutivos</w:t>
      </w:r>
      <w:r w:rsidRPr="00E654E0">
        <w:rPr>
          <w:rStyle w:val="Refdenotaderodap"/>
          <w:rFonts w:ascii="Times New Roman" w:hAnsi="Times New Roman" w:cs="Times New Roman"/>
          <w:sz w:val="24"/>
          <w:szCs w:val="24"/>
        </w:rPr>
        <w:footnoteReference w:id="32"/>
      </w:r>
      <w:r w:rsidRPr="00E654E0">
        <w:rPr>
          <w:rFonts w:ascii="Times New Roman" w:hAnsi="Times New Roman" w:cs="Times New Roman"/>
          <w:sz w:val="24"/>
          <w:szCs w:val="24"/>
        </w:rPr>
        <w:t>.</w:t>
      </w:r>
    </w:p>
    <w:p w:rsidR="00036D26" w:rsidRPr="00E654E0" w:rsidRDefault="00036D26" w:rsidP="00036D26">
      <w:pPr>
        <w:spacing w:line="360" w:lineRule="auto"/>
        <w:ind w:firstLine="705"/>
        <w:jc w:val="both"/>
        <w:rPr>
          <w:rFonts w:ascii="Times New Roman" w:hAnsi="Times New Roman" w:cs="Times New Roman"/>
          <w:sz w:val="24"/>
          <w:szCs w:val="24"/>
        </w:rPr>
      </w:pPr>
      <w:r w:rsidRPr="00E654E0">
        <w:rPr>
          <w:rFonts w:ascii="Times New Roman" w:hAnsi="Times New Roman" w:cs="Times New Roman"/>
          <w:sz w:val="24"/>
          <w:szCs w:val="24"/>
        </w:rPr>
        <w:t>Por último</w:t>
      </w:r>
      <w:r>
        <w:rPr>
          <w:rFonts w:ascii="Times New Roman" w:hAnsi="Times New Roman" w:cs="Times New Roman"/>
          <w:sz w:val="24"/>
          <w:szCs w:val="24"/>
        </w:rPr>
        <w:t>,</w:t>
      </w:r>
      <w:r w:rsidRPr="00E654E0">
        <w:rPr>
          <w:rFonts w:ascii="Times New Roman" w:hAnsi="Times New Roman" w:cs="Times New Roman"/>
          <w:sz w:val="24"/>
          <w:szCs w:val="24"/>
        </w:rPr>
        <w:t xml:space="preserve"> temos a alínea </w:t>
      </w:r>
      <w:r w:rsidRPr="00E654E0">
        <w:rPr>
          <w:rFonts w:ascii="Times New Roman" w:hAnsi="Times New Roman" w:cs="Times New Roman"/>
          <w:i/>
          <w:sz w:val="24"/>
          <w:szCs w:val="24"/>
        </w:rPr>
        <w:t>f).</w:t>
      </w:r>
      <w:r w:rsidRPr="00E654E0">
        <w:rPr>
          <w:rFonts w:ascii="Times New Roman" w:hAnsi="Times New Roman" w:cs="Times New Roman"/>
          <w:sz w:val="24"/>
          <w:szCs w:val="24"/>
        </w:rPr>
        <w:t xml:space="preserve"> Esta alínea surgiu por motivos de insuficiência e impossibilidade do artigo 89.º-A proceder à tipificação de todos os sinais exteriores de riqueza</w:t>
      </w:r>
      <w:r w:rsidRPr="00E654E0">
        <w:rPr>
          <w:rStyle w:val="Refdenotaderodap"/>
          <w:rFonts w:ascii="Times New Roman" w:hAnsi="Times New Roman" w:cs="Times New Roman"/>
          <w:sz w:val="24"/>
          <w:szCs w:val="24"/>
        </w:rPr>
        <w:footnoteReference w:id="33"/>
      </w:r>
      <w:r w:rsidRPr="00E654E0">
        <w:rPr>
          <w:rFonts w:ascii="Times New Roman" w:hAnsi="Times New Roman" w:cs="Times New Roman"/>
          <w:sz w:val="24"/>
          <w:szCs w:val="24"/>
        </w:rPr>
        <w:t xml:space="preserve">. Determina aquela alínea o recurso à avaliação indireta nos casos em que se verificar um acréscimo de património ou despesa efetuada, incluindo liberalidades, de valor superior a € 100.000,00, verificados simultaneamente a falta de declaração de rendimentos ou a existência, no mesmo período de tributação, de uma divergência não justificada com os rendimentos declarados.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avaliação indireta, para além de ser um método excecional de fixação do rendimento real do contribuinte, é ela também um mecanismo subsidiário, utilizável apenas nos casos e relativamente aos factos em que seja impossível o recurso à avaliação direta.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quantificação da matéria tributável através de métodos presuntivos não afasta em momento algum as regras da avaliação direta, são de aplicação cumulativa, sendo a primeira uma forma de ultrapassar a falta de cooperação do contribuinte, que impossibilita a utilização de elementos objetivos para determinação do tributo.</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atividade da Administração, correspondendo a um ato que afeta direitos e interesses legalmente protegidos, tem de conter uma fundamentação suficiente, clara e congruente</w:t>
      </w:r>
      <w:r w:rsidRPr="00E654E0">
        <w:rPr>
          <w:rStyle w:val="Refdenotaderodap"/>
          <w:rFonts w:ascii="Times New Roman" w:hAnsi="Times New Roman" w:cs="Times New Roman"/>
          <w:sz w:val="24"/>
          <w:szCs w:val="24"/>
        </w:rPr>
        <w:footnoteReference w:id="34"/>
      </w:r>
      <w:r w:rsidRPr="00E654E0">
        <w:rPr>
          <w:rFonts w:ascii="Times New Roman" w:hAnsi="Times New Roman" w:cs="Times New Roman"/>
          <w:sz w:val="24"/>
          <w:szCs w:val="24"/>
        </w:rPr>
        <w:t>, de modo a que possa haver, se necessário, um posterior controlo judiciário do ato de liquidação a que deu lugar a avaliação indireta</w:t>
      </w:r>
      <w:r w:rsidRPr="00E654E0">
        <w:rPr>
          <w:rStyle w:val="Refdenotaderodap"/>
          <w:rFonts w:ascii="Times New Roman" w:hAnsi="Times New Roman" w:cs="Times New Roman"/>
          <w:sz w:val="24"/>
          <w:szCs w:val="24"/>
        </w:rPr>
        <w:footnoteReference w:id="35"/>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pStyle w:val="Cabealho1"/>
        <w:spacing w:line="360" w:lineRule="auto"/>
        <w:ind w:firstLine="708"/>
        <w:jc w:val="both"/>
        <w:rPr>
          <w:rFonts w:ascii="Times New Roman" w:hAnsi="Times New Roman" w:cs="Times New Roman"/>
          <w:color w:val="auto"/>
          <w:sz w:val="24"/>
          <w:szCs w:val="24"/>
        </w:rPr>
      </w:pPr>
      <w:bookmarkStart w:id="5" w:name="_Toc483610330"/>
      <w:r w:rsidRPr="00E654E0">
        <w:rPr>
          <w:rFonts w:ascii="Times New Roman" w:hAnsi="Times New Roman" w:cs="Times New Roman"/>
          <w:color w:val="auto"/>
          <w:sz w:val="24"/>
          <w:szCs w:val="24"/>
        </w:rPr>
        <w:t>1.3. Método Presuntivo – Prova indireta, indiciária ou circunstancial</w:t>
      </w:r>
      <w:bookmarkEnd w:id="5"/>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Apresentados os motivos que pode</w:t>
      </w:r>
      <w:r>
        <w:rPr>
          <w:rFonts w:ascii="Times New Roman" w:hAnsi="Times New Roman" w:cs="Times New Roman"/>
          <w:sz w:val="24"/>
          <w:szCs w:val="24"/>
        </w:rPr>
        <w:t>rão justificar o recurso</w:t>
      </w:r>
      <w:r w:rsidRPr="00E654E0">
        <w:rPr>
          <w:rFonts w:ascii="Times New Roman" w:hAnsi="Times New Roman" w:cs="Times New Roman"/>
          <w:sz w:val="24"/>
          <w:szCs w:val="24"/>
        </w:rPr>
        <w:t xml:space="preserve"> pela Administração Tributária à avaliação indireta, vamos agora verificar que instrumentos tem ao seu dispor para quantificação da obrigação fiscal.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avaliação indireta é uma reação da Administração Tributária à violação do dever de cooperação a que está sujeito o contribuinte. A recusa de colaboração impede que a Administração avalie a sua situação financeira de forma objetiva, obrigando-a, na maioria dos casos, a inferir dos factos que conhece e tem ao seu dispor outros factos, que se dirão prováveis.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Naqueles casos, a Administração Tributária, por força do princípio do inquisitório, excede os elementos fornecidos pelo contribuinte, por aqueles não se apresenta</w:t>
      </w:r>
      <w:r>
        <w:rPr>
          <w:rFonts w:ascii="Times New Roman" w:hAnsi="Times New Roman" w:cs="Times New Roman"/>
          <w:sz w:val="24"/>
          <w:szCs w:val="24"/>
        </w:rPr>
        <w:t xml:space="preserve">rem suficientes para a correta </w:t>
      </w:r>
      <w:r w:rsidRPr="00E654E0">
        <w:rPr>
          <w:rFonts w:ascii="Times New Roman" w:hAnsi="Times New Roman" w:cs="Times New Roman"/>
          <w:sz w:val="24"/>
          <w:szCs w:val="24"/>
        </w:rPr>
        <w:t>satisfação do interesse público e à</w:t>
      </w:r>
      <w:r>
        <w:rPr>
          <w:rFonts w:ascii="Times New Roman" w:hAnsi="Times New Roman" w:cs="Times New Roman"/>
          <w:sz w:val="24"/>
          <w:szCs w:val="24"/>
        </w:rPr>
        <w:t xml:space="preserve"> descoberta da verdade material</w:t>
      </w:r>
      <w:r w:rsidRPr="00E654E0">
        <w:rPr>
          <w:rStyle w:val="Refdenotaderodap"/>
          <w:rFonts w:ascii="Times New Roman" w:hAnsi="Times New Roman" w:cs="Times New Roman"/>
          <w:sz w:val="24"/>
          <w:szCs w:val="24"/>
        </w:rPr>
        <w:footnoteReference w:id="36"/>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Estando a atividade administrativa sujeita à prossecução do interesse público, é por imperativo constitucional</w:t>
      </w:r>
      <w:r w:rsidRPr="00E654E0">
        <w:rPr>
          <w:rStyle w:val="Refdenotaderodap"/>
          <w:rFonts w:ascii="Times New Roman" w:hAnsi="Times New Roman" w:cs="Times New Roman"/>
          <w:sz w:val="24"/>
          <w:szCs w:val="24"/>
        </w:rPr>
        <w:footnoteReference w:id="37"/>
      </w:r>
      <w:r w:rsidRPr="00E654E0">
        <w:rPr>
          <w:rFonts w:ascii="Times New Roman" w:hAnsi="Times New Roman" w:cs="Times New Roman"/>
          <w:sz w:val="24"/>
          <w:szCs w:val="24"/>
        </w:rPr>
        <w:t xml:space="preserve"> e por motivos de igualdade na repa</w:t>
      </w:r>
      <w:r>
        <w:rPr>
          <w:rFonts w:ascii="Times New Roman" w:hAnsi="Times New Roman" w:cs="Times New Roman"/>
          <w:sz w:val="24"/>
          <w:szCs w:val="24"/>
        </w:rPr>
        <w:t xml:space="preserve">rtição dos encargos tributários ou </w:t>
      </w:r>
      <w:r w:rsidRPr="00E654E0">
        <w:rPr>
          <w:rFonts w:ascii="Times New Roman" w:hAnsi="Times New Roman" w:cs="Times New Roman"/>
          <w:sz w:val="24"/>
          <w:szCs w:val="24"/>
        </w:rPr>
        <w:t>sociais, que o legislador permitiu uma tributação com base em indícios e presunções, renunciando à exigência de certeza e admitindo formas menos seguras de reconstituição do facto tributável.</w:t>
      </w:r>
      <w:r w:rsidRPr="00E654E0">
        <w:rPr>
          <w:rStyle w:val="Refdenotaderodap"/>
          <w:rFonts w:ascii="Times New Roman" w:hAnsi="Times New Roman" w:cs="Times New Roman"/>
          <w:sz w:val="24"/>
          <w:szCs w:val="24"/>
        </w:rPr>
        <w:footnoteReference w:id="38"/>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Não se conclui do que foi dito, que a Administração Tributária deixará de prosseguir a realidade fiscal do sujeito passivo, apenas terá ao seu dispor, para reconstituição da situação financeira, um maior conjunto de elementos – elementos fornecidos pelo contribuinte e outros resultantes da sua atividade investigatória e de máximas da experiência. Ainda que de forma indireta, tem-se sempre em vista a tributação de um rendimento que se diz real</w:t>
      </w:r>
      <w:r w:rsidRPr="00E654E0">
        <w:rPr>
          <w:rStyle w:val="Refdenotaderodap"/>
          <w:rFonts w:ascii="Times New Roman" w:hAnsi="Times New Roman" w:cs="Times New Roman"/>
          <w:sz w:val="24"/>
          <w:szCs w:val="24"/>
        </w:rPr>
        <w:footnoteReference w:id="39"/>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É nisto que se irá traduzir o método presuntivo de determinação da matéria tributável, é uma combinação entre os elementos fornecidos pelo contribuinte e outros, fruto de diligências realizadas pela Administração Tributária, com vista à descoberta da verdade material.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Quanto mais intensa for a falta de colaboração do contribuinte, maior será a necessidade de a Administração recorrer a prova indiciária, ou seja, a indícios e presunções.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O Código Civil Português, no seu artigo 349.º</w:t>
      </w:r>
      <w:r>
        <w:rPr>
          <w:rFonts w:ascii="Times New Roman" w:hAnsi="Times New Roman" w:cs="Times New Roman"/>
          <w:sz w:val="24"/>
          <w:szCs w:val="24"/>
        </w:rPr>
        <w:t>,</w:t>
      </w:r>
      <w:r w:rsidRPr="00E654E0">
        <w:rPr>
          <w:rFonts w:ascii="Times New Roman" w:hAnsi="Times New Roman" w:cs="Times New Roman"/>
          <w:sz w:val="24"/>
          <w:szCs w:val="24"/>
        </w:rPr>
        <w:t xml:space="preserve"> define presunções como ilações que a lei ou mesmo o julgador tira de um facto conhecido para firmar um facto desconhecido.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As presunçõe</w:t>
      </w:r>
      <w:r>
        <w:rPr>
          <w:rFonts w:ascii="Times New Roman" w:hAnsi="Times New Roman" w:cs="Times New Roman"/>
          <w:sz w:val="24"/>
          <w:szCs w:val="24"/>
        </w:rPr>
        <w:t>s dizem-se legais ou de direito quando previstas na lei</w:t>
      </w:r>
      <w:r w:rsidRPr="00E654E0">
        <w:rPr>
          <w:rFonts w:ascii="Times New Roman" w:hAnsi="Times New Roman" w:cs="Times New Roman"/>
          <w:sz w:val="24"/>
          <w:szCs w:val="24"/>
        </w:rPr>
        <w:t xml:space="preserve"> e judic</w:t>
      </w:r>
      <w:r>
        <w:rPr>
          <w:rFonts w:ascii="Times New Roman" w:hAnsi="Times New Roman" w:cs="Times New Roman"/>
          <w:sz w:val="24"/>
          <w:szCs w:val="24"/>
        </w:rPr>
        <w:t>iais, simples ou de experiência</w:t>
      </w:r>
      <w:r w:rsidRPr="00E654E0">
        <w:rPr>
          <w:rFonts w:ascii="Times New Roman" w:hAnsi="Times New Roman" w:cs="Times New Roman"/>
          <w:sz w:val="24"/>
          <w:szCs w:val="24"/>
        </w:rPr>
        <w:t xml:space="preserve"> quando decorrem do raciocínio de quem julga, de máximas da experiência, </w:t>
      </w:r>
      <w:r w:rsidRPr="00E654E0">
        <w:rPr>
          <w:rFonts w:ascii="Times New Roman" w:hAnsi="Times New Roman" w:cs="Times New Roman"/>
          <w:i/>
          <w:sz w:val="24"/>
          <w:szCs w:val="24"/>
        </w:rPr>
        <w:t>conhecimentos extrajurídicos adquiridos ao longo do tempo e que permitem constatar que determinados factos estão normalmente ligados a outros factos distintos</w:t>
      </w:r>
      <w:r w:rsidRPr="00E654E0">
        <w:rPr>
          <w:rStyle w:val="Refdenotaderodap"/>
          <w:rFonts w:ascii="Times New Roman" w:hAnsi="Times New Roman" w:cs="Times New Roman"/>
          <w:i/>
          <w:sz w:val="24"/>
          <w:szCs w:val="24"/>
        </w:rPr>
        <w:footnoteReference w:id="40"/>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As presunções legais poderão ser absolutas – </w:t>
      </w:r>
      <w:r w:rsidRPr="00E654E0">
        <w:rPr>
          <w:rFonts w:ascii="Times New Roman" w:hAnsi="Times New Roman" w:cs="Times New Roman"/>
          <w:i/>
          <w:sz w:val="24"/>
          <w:szCs w:val="24"/>
        </w:rPr>
        <w:t>iure et de iure</w:t>
      </w:r>
      <w:r w:rsidRPr="00E654E0">
        <w:rPr>
          <w:rFonts w:ascii="Times New Roman" w:hAnsi="Times New Roman" w:cs="Times New Roman"/>
          <w:sz w:val="24"/>
          <w:szCs w:val="24"/>
        </w:rPr>
        <w:t xml:space="preserve"> - ou relativas – </w:t>
      </w:r>
      <w:r w:rsidRPr="00E654E0">
        <w:rPr>
          <w:rFonts w:ascii="Times New Roman" w:hAnsi="Times New Roman" w:cs="Times New Roman"/>
          <w:i/>
          <w:sz w:val="24"/>
          <w:szCs w:val="24"/>
        </w:rPr>
        <w:t>iuris tantum -</w:t>
      </w:r>
      <w:r w:rsidRPr="00E654E0">
        <w:rPr>
          <w:rFonts w:ascii="Times New Roman" w:hAnsi="Times New Roman" w:cs="Times New Roman"/>
          <w:sz w:val="24"/>
          <w:szCs w:val="24"/>
        </w:rPr>
        <w:t>, sendo que as primeiras não admitem prova em contrário e as segundas, assim como as presunções naturais, admitem sempre prova em contrário</w:t>
      </w:r>
      <w:r w:rsidRPr="00E654E0">
        <w:rPr>
          <w:rStyle w:val="Refdenotaderodap"/>
          <w:rFonts w:ascii="Times New Roman" w:hAnsi="Times New Roman" w:cs="Times New Roman"/>
          <w:sz w:val="24"/>
          <w:szCs w:val="24"/>
        </w:rPr>
        <w:footnoteReference w:id="41"/>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direito tributário recorre a presunções naturais que permitem inf</w:t>
      </w:r>
      <w:r>
        <w:rPr>
          <w:rFonts w:ascii="Times New Roman" w:hAnsi="Times New Roman" w:cs="Times New Roman"/>
          <w:sz w:val="24"/>
          <w:szCs w:val="24"/>
        </w:rPr>
        <w:t>erir a existência de rendimento</w:t>
      </w:r>
      <w:r w:rsidRPr="00E654E0">
        <w:rPr>
          <w:rFonts w:ascii="Times New Roman" w:hAnsi="Times New Roman" w:cs="Times New Roman"/>
          <w:sz w:val="24"/>
          <w:szCs w:val="24"/>
        </w:rPr>
        <w:t xml:space="preserve"> como forma de suprir o incumprimento de um dever por parte do contribuinte. Determina-se</w:t>
      </w:r>
      <w:r>
        <w:rPr>
          <w:rFonts w:ascii="Times New Roman" w:hAnsi="Times New Roman" w:cs="Times New Roman"/>
          <w:sz w:val="24"/>
          <w:szCs w:val="24"/>
        </w:rPr>
        <w:t>,</w:t>
      </w:r>
      <w:r w:rsidRPr="00E654E0">
        <w:rPr>
          <w:rFonts w:ascii="Times New Roman" w:hAnsi="Times New Roman" w:cs="Times New Roman"/>
          <w:sz w:val="24"/>
          <w:szCs w:val="24"/>
        </w:rPr>
        <w:t xml:space="preserve"> desta forma</w:t>
      </w:r>
      <w:r>
        <w:rPr>
          <w:rFonts w:ascii="Times New Roman" w:hAnsi="Times New Roman" w:cs="Times New Roman"/>
          <w:sz w:val="24"/>
          <w:szCs w:val="24"/>
        </w:rPr>
        <w:t>,</w:t>
      </w:r>
      <w:r w:rsidRPr="00E654E0">
        <w:rPr>
          <w:rFonts w:ascii="Times New Roman" w:hAnsi="Times New Roman" w:cs="Times New Roman"/>
          <w:sz w:val="24"/>
          <w:szCs w:val="24"/>
        </w:rPr>
        <w:t xml:space="preserve"> o próprio conteúdo da obrigação tributária </w:t>
      </w:r>
      <w:r w:rsidRPr="00E654E0">
        <w:rPr>
          <w:rFonts w:ascii="Times New Roman" w:hAnsi="Times New Roman" w:cs="Times New Roman"/>
          <w:i/>
          <w:sz w:val="24"/>
          <w:szCs w:val="24"/>
        </w:rPr>
        <w:t>através da atribuição de relevância fiscal a certos factos dos quais se pode extrair a conclusão da existência de um certo facto tributável</w:t>
      </w:r>
      <w:r w:rsidRPr="00E654E0">
        <w:rPr>
          <w:rStyle w:val="Refdenotaderodap"/>
          <w:rFonts w:ascii="Times New Roman" w:hAnsi="Times New Roman" w:cs="Times New Roman"/>
          <w:i/>
          <w:sz w:val="24"/>
          <w:szCs w:val="24"/>
        </w:rPr>
        <w:footnoteReference w:id="42"/>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As presunções são geralmente descritas como provas indiciárias, indiretas ou circunstanciais. Contudo, no direito tributário, a sua natureza é substantiva e não probatória. Com as presunções o que se pretende é, através de um raciocínio lógico, perceber em que bens, serviços ou atividades vão assentar a tributação, permitindo determinar o valor da matéria coletável e a quantificação do tributo – constituição do facto tributário</w:t>
      </w:r>
      <w:r w:rsidRPr="00E654E0">
        <w:rPr>
          <w:rStyle w:val="Refdenotaderodap"/>
          <w:rFonts w:ascii="Times New Roman" w:hAnsi="Times New Roman" w:cs="Times New Roman"/>
          <w:sz w:val="24"/>
          <w:szCs w:val="24"/>
        </w:rPr>
        <w:footnoteReference w:id="43"/>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Os indícios e presunções permitem que o julgador, de um facto conhecido – </w:t>
      </w:r>
      <w:r w:rsidRPr="00E654E0">
        <w:rPr>
          <w:rFonts w:ascii="Times New Roman" w:hAnsi="Times New Roman" w:cs="Times New Roman"/>
          <w:i/>
          <w:sz w:val="24"/>
          <w:szCs w:val="24"/>
        </w:rPr>
        <w:t>afirmação base ou indício</w:t>
      </w:r>
      <w:r w:rsidRPr="00E654E0">
        <w:rPr>
          <w:rFonts w:ascii="Times New Roman" w:hAnsi="Times New Roman" w:cs="Times New Roman"/>
          <w:sz w:val="24"/>
          <w:szCs w:val="24"/>
        </w:rPr>
        <w:t xml:space="preserve"> – e através de um nexo lógico e de máximas d</w:t>
      </w:r>
      <w:r>
        <w:rPr>
          <w:rFonts w:ascii="Times New Roman" w:hAnsi="Times New Roman" w:cs="Times New Roman"/>
          <w:sz w:val="24"/>
          <w:szCs w:val="24"/>
        </w:rPr>
        <w:t xml:space="preserve">a experiência, infira um outro </w:t>
      </w:r>
      <w:r w:rsidRPr="00E654E0">
        <w:rPr>
          <w:rFonts w:ascii="Times New Roman" w:hAnsi="Times New Roman" w:cs="Times New Roman"/>
          <w:sz w:val="24"/>
          <w:szCs w:val="24"/>
        </w:rPr>
        <w:t xml:space="preserve">que por regra o sucede ou é seu contemporâneo – </w:t>
      </w:r>
      <w:r w:rsidRPr="00E654E0">
        <w:rPr>
          <w:rFonts w:ascii="Times New Roman" w:hAnsi="Times New Roman" w:cs="Times New Roman"/>
          <w:i/>
          <w:sz w:val="24"/>
          <w:szCs w:val="24"/>
        </w:rPr>
        <w:t>afirmação resultado ou afirmação presumida</w:t>
      </w:r>
      <w:r w:rsidRPr="00E654E0">
        <w:rPr>
          <w:rFonts w:ascii="Times New Roman" w:hAnsi="Times New Roman" w:cs="Times New Roman"/>
          <w:sz w:val="24"/>
          <w:szCs w:val="24"/>
        </w:rPr>
        <w:t>. A relação que se estabelece entre ambos os factos é vista</w:t>
      </w:r>
      <w:r>
        <w:rPr>
          <w:rFonts w:ascii="Times New Roman" w:hAnsi="Times New Roman" w:cs="Times New Roman"/>
          <w:sz w:val="24"/>
          <w:szCs w:val="24"/>
        </w:rPr>
        <w:t>,</w:t>
      </w:r>
      <w:r w:rsidRPr="00E654E0">
        <w:rPr>
          <w:rFonts w:ascii="Times New Roman" w:hAnsi="Times New Roman" w:cs="Times New Roman"/>
          <w:sz w:val="24"/>
          <w:szCs w:val="24"/>
        </w:rPr>
        <w:t xml:space="preserve"> por aquele a quem compete </w:t>
      </w:r>
      <w:r>
        <w:rPr>
          <w:rFonts w:ascii="Times New Roman" w:hAnsi="Times New Roman" w:cs="Times New Roman"/>
          <w:sz w:val="24"/>
          <w:szCs w:val="24"/>
        </w:rPr>
        <w:t xml:space="preserve">decidir, </w:t>
      </w:r>
      <w:r w:rsidRPr="00E654E0">
        <w:rPr>
          <w:rFonts w:ascii="Times New Roman" w:hAnsi="Times New Roman" w:cs="Times New Roman"/>
          <w:sz w:val="24"/>
          <w:szCs w:val="24"/>
        </w:rPr>
        <w:t>como uma consequência lógica ou necessária</w:t>
      </w:r>
      <w:r w:rsidRPr="00E654E0">
        <w:rPr>
          <w:rStyle w:val="Refdenotaderodap"/>
          <w:rFonts w:ascii="Times New Roman" w:hAnsi="Times New Roman" w:cs="Times New Roman"/>
          <w:sz w:val="24"/>
          <w:szCs w:val="24"/>
        </w:rPr>
        <w:footnoteReference w:id="44"/>
      </w:r>
      <w:r w:rsidRPr="00E654E0">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bookmarkStart w:id="6" w:name="_Toc483610331"/>
    </w:p>
    <w:p w:rsidR="00036D26" w:rsidRPr="00083B59" w:rsidRDefault="00036D26" w:rsidP="00036D26"/>
    <w:p w:rsidR="00036D26" w:rsidRDefault="00036D26" w:rsidP="00036D26">
      <w:pPr>
        <w:pStyle w:val="Cabealho1"/>
        <w:spacing w:line="360" w:lineRule="auto"/>
        <w:jc w:val="both"/>
        <w:rPr>
          <w:rFonts w:ascii="Times New Roman" w:hAnsi="Times New Roman" w:cs="Times New Roman"/>
          <w:color w:val="auto"/>
          <w:sz w:val="24"/>
          <w:szCs w:val="24"/>
        </w:rPr>
      </w:pPr>
    </w:p>
    <w:p w:rsidR="00036D26" w:rsidRDefault="00036D26" w:rsidP="00036D26">
      <w:pPr>
        <w:pStyle w:val="Cabealho1"/>
        <w:spacing w:line="360" w:lineRule="auto"/>
        <w:jc w:val="both"/>
        <w:rPr>
          <w:rFonts w:ascii="Times New Roman" w:hAnsi="Times New Roman" w:cs="Times New Roman"/>
          <w:color w:val="auto"/>
          <w:sz w:val="24"/>
          <w:szCs w:val="24"/>
        </w:rPr>
      </w:pPr>
    </w:p>
    <w:p w:rsidR="00036D26" w:rsidRPr="00E654E0" w:rsidRDefault="00036D26" w:rsidP="00036D26">
      <w:pPr>
        <w:pStyle w:val="Cabealho1"/>
        <w:spacing w:line="360" w:lineRule="auto"/>
        <w:jc w:val="both"/>
        <w:rPr>
          <w:rFonts w:ascii="Times New Roman" w:hAnsi="Times New Roman" w:cs="Times New Roman"/>
          <w:color w:val="auto"/>
          <w:sz w:val="24"/>
          <w:szCs w:val="24"/>
        </w:rPr>
      </w:pPr>
      <w:r w:rsidRPr="00E654E0">
        <w:rPr>
          <w:rFonts w:ascii="Times New Roman" w:hAnsi="Times New Roman" w:cs="Times New Roman"/>
          <w:color w:val="auto"/>
          <w:sz w:val="24"/>
          <w:szCs w:val="24"/>
        </w:rPr>
        <w:t>2. CONSEQUÊNCIAS DA VIOLAÇÃO DO DEVER DE COOPERAÇÃO – PROCEDIMENTO DE INSPEÇÃO TRIBUTÁRIA</w:t>
      </w:r>
      <w:bookmarkEnd w:id="6"/>
    </w:p>
    <w:p w:rsidR="00036D26" w:rsidRPr="00E654E0" w:rsidRDefault="00036D26" w:rsidP="00036D26">
      <w:pPr>
        <w:spacing w:line="360" w:lineRule="auto"/>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atividade antecedente ao ato de liquidação foi entregue, por motivos de </w:t>
      </w:r>
      <w:r w:rsidRPr="00E654E0">
        <w:rPr>
          <w:rFonts w:ascii="Times New Roman" w:hAnsi="Times New Roman" w:cs="Times New Roman"/>
          <w:i/>
          <w:sz w:val="24"/>
          <w:szCs w:val="24"/>
        </w:rPr>
        <w:t>privatização</w:t>
      </w:r>
      <w:r w:rsidRPr="00E654E0">
        <w:rPr>
          <w:rFonts w:ascii="Times New Roman" w:hAnsi="Times New Roman" w:cs="Times New Roman"/>
          <w:sz w:val="24"/>
          <w:szCs w:val="24"/>
        </w:rPr>
        <w:t xml:space="preserve"> ou </w:t>
      </w:r>
      <w:r w:rsidRPr="00E654E0">
        <w:rPr>
          <w:rFonts w:ascii="Times New Roman" w:hAnsi="Times New Roman" w:cs="Times New Roman"/>
          <w:i/>
          <w:sz w:val="24"/>
          <w:szCs w:val="24"/>
        </w:rPr>
        <w:t>desadministrativização</w:t>
      </w:r>
      <w:r w:rsidRPr="00E654E0">
        <w:rPr>
          <w:rFonts w:ascii="Times New Roman" w:hAnsi="Times New Roman" w:cs="Times New Roman"/>
          <w:sz w:val="24"/>
          <w:szCs w:val="24"/>
        </w:rPr>
        <w:t xml:space="preserve"> do procedimento</w:t>
      </w:r>
      <w:r w:rsidRPr="00E654E0">
        <w:rPr>
          <w:rStyle w:val="Refdenotaderodap"/>
          <w:rFonts w:ascii="Times New Roman" w:hAnsi="Times New Roman" w:cs="Times New Roman"/>
          <w:sz w:val="24"/>
          <w:szCs w:val="24"/>
        </w:rPr>
        <w:footnoteReference w:id="45"/>
      </w:r>
      <w:r w:rsidRPr="00E654E0">
        <w:rPr>
          <w:rFonts w:ascii="Times New Roman" w:hAnsi="Times New Roman" w:cs="Times New Roman"/>
          <w:sz w:val="24"/>
          <w:szCs w:val="24"/>
        </w:rPr>
        <w:t xml:space="preserve">, </w:t>
      </w:r>
      <w:r>
        <w:rPr>
          <w:rFonts w:ascii="Times New Roman" w:hAnsi="Times New Roman" w:cs="Times New Roman"/>
          <w:sz w:val="24"/>
          <w:szCs w:val="24"/>
        </w:rPr>
        <w:t>ao contribuinte. É ele</w:t>
      </w:r>
      <w:r w:rsidRPr="00E654E0">
        <w:rPr>
          <w:rFonts w:ascii="Times New Roman" w:hAnsi="Times New Roman" w:cs="Times New Roman"/>
          <w:sz w:val="24"/>
          <w:szCs w:val="24"/>
        </w:rPr>
        <w:t xml:space="preserve"> que</w:t>
      </w:r>
      <w:r>
        <w:rPr>
          <w:rFonts w:ascii="Times New Roman" w:hAnsi="Times New Roman" w:cs="Times New Roman"/>
          <w:sz w:val="24"/>
          <w:szCs w:val="24"/>
        </w:rPr>
        <w:t>,</w:t>
      </w:r>
      <w:r w:rsidRPr="00E654E0">
        <w:rPr>
          <w:rFonts w:ascii="Times New Roman" w:hAnsi="Times New Roman" w:cs="Times New Roman"/>
          <w:sz w:val="24"/>
          <w:szCs w:val="24"/>
        </w:rPr>
        <w:t xml:space="preserve"> por força do seu dever de cooperação, fixa o seu rendimento real através da apresentação da sua contabilidade e outros documentos relevantes para a operação – </w:t>
      </w:r>
      <w:r w:rsidRPr="00E654E0">
        <w:rPr>
          <w:rFonts w:ascii="Times New Roman" w:hAnsi="Times New Roman" w:cs="Times New Roman"/>
          <w:i/>
          <w:sz w:val="24"/>
          <w:szCs w:val="24"/>
        </w:rPr>
        <w:t>autoliquidação</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Administração Tributária intervém posteriormente apenas para verificar da credibilidade da informação prestada pelo sujeito passivo. Se não forem encontradas deficiências ou irregularidades, termina aí a sua intervenção e segue-se a fase de liquidação – aplicação da taxa de imposto à matéria tributável determinada pelo sujeito passivo.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tarefa levada a cabo pela Administração Tributária não passa de um simples controlo e análise da fiabilidade da situação financeira declarada pelo contribuinte. Foi o sujeito passivo quem na realidade fixou a sua matéria coletável e a obrigação tributária, através de um método declarativo.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avaliação direta veio dar autonomia aos sujeitos passivos e retirar poderes à Administração. Diminuíram-se</w:t>
      </w:r>
      <w:r>
        <w:rPr>
          <w:rFonts w:ascii="Times New Roman" w:hAnsi="Times New Roman" w:cs="Times New Roman"/>
          <w:sz w:val="24"/>
          <w:szCs w:val="24"/>
        </w:rPr>
        <w:t>,</w:t>
      </w:r>
      <w:r w:rsidRPr="00E654E0">
        <w:rPr>
          <w:rFonts w:ascii="Times New Roman" w:hAnsi="Times New Roman" w:cs="Times New Roman"/>
          <w:sz w:val="24"/>
          <w:szCs w:val="24"/>
        </w:rPr>
        <w:t xml:space="preserve"> deste modo</w:t>
      </w:r>
      <w:r>
        <w:rPr>
          <w:rFonts w:ascii="Times New Roman" w:hAnsi="Times New Roman" w:cs="Times New Roman"/>
          <w:sz w:val="24"/>
          <w:szCs w:val="24"/>
        </w:rPr>
        <w:t>,</w:t>
      </w:r>
      <w:r w:rsidRPr="00E654E0">
        <w:rPr>
          <w:rFonts w:ascii="Times New Roman" w:hAnsi="Times New Roman" w:cs="Times New Roman"/>
          <w:sz w:val="24"/>
          <w:szCs w:val="24"/>
        </w:rPr>
        <w:t xml:space="preserve"> as faculdades da Administração Tributária, o recurso à discricionariedade e a elementos subjetivos como forma de fixação dos tributos, é o contribuinte que através de provas diretas demonstra a realidade da sua contabilidade.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cumprimento deste dever de cooperação é de todo o interesse para o sujeito passivo, é ele quem beneficia com a avaliação direta ao ter em sua posse o poder de controlar a intromissão da Autoridade Tributária na sua esfera privada, a intrusão será maior ou menor consoante a</w:t>
      </w:r>
      <w:r>
        <w:rPr>
          <w:rFonts w:ascii="Times New Roman" w:hAnsi="Times New Roman" w:cs="Times New Roman"/>
          <w:sz w:val="24"/>
          <w:szCs w:val="24"/>
        </w:rPr>
        <w:t xml:space="preserve"> sua menor ou maior colaboração. U</w:t>
      </w:r>
      <w:r w:rsidRPr="00E654E0">
        <w:rPr>
          <w:rFonts w:ascii="Times New Roman" w:hAnsi="Times New Roman" w:cs="Times New Roman"/>
          <w:sz w:val="24"/>
          <w:szCs w:val="24"/>
        </w:rPr>
        <w:t xml:space="preserve">m histórico financeiro organizado e coerente permite a tributação de um rendimento que se diz real e evita constrangimentos futuros.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dificuldade está nos casos em que, ainda que havendo uma autoliquidação, a Administração Tributária quando procede à sua verificação encontra deficiências, omissões ou informações desconexas da realidade. São estes os casos que o legislador achou que justificavam a interferência da Administração Tributária seja através de um pedido de esclarecimentos ao sujeito passivo</w:t>
      </w:r>
      <w:r w:rsidRPr="00E654E0">
        <w:rPr>
          <w:rStyle w:val="Refdenotaderodap"/>
          <w:rFonts w:ascii="Times New Roman" w:hAnsi="Times New Roman" w:cs="Times New Roman"/>
          <w:sz w:val="24"/>
          <w:szCs w:val="24"/>
        </w:rPr>
        <w:footnoteReference w:id="46"/>
      </w:r>
      <w:r w:rsidRPr="00E654E0">
        <w:rPr>
          <w:rFonts w:ascii="Times New Roman" w:hAnsi="Times New Roman" w:cs="Times New Roman"/>
          <w:sz w:val="24"/>
          <w:szCs w:val="24"/>
        </w:rPr>
        <w:t xml:space="preserve"> ou através da correção oficiosa da matéria tributável, quando o contribuinte se recuse a esclarecer ou esclareça de forma incompleta, não conseguindo ilidir as suspeitas da Administração relativamente a erro no cálculo.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Poderão ser quatro as consequências da violação do dever de cooperação do contribuinte.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Uma das consequências foi referida em cima e diz respeito ao aumento da capacidade investigatória da Administração Tributária</w:t>
      </w:r>
      <w:r w:rsidRPr="00E654E0">
        <w:rPr>
          <w:rStyle w:val="Refdenotaderodap"/>
          <w:rFonts w:ascii="Times New Roman" w:hAnsi="Times New Roman" w:cs="Times New Roman"/>
          <w:sz w:val="24"/>
          <w:szCs w:val="24"/>
        </w:rPr>
        <w:footnoteReference w:id="47"/>
      </w:r>
      <w:r w:rsidRPr="00E654E0">
        <w:rPr>
          <w:rFonts w:ascii="Times New Roman" w:hAnsi="Times New Roman" w:cs="Times New Roman"/>
          <w:sz w:val="24"/>
          <w:szCs w:val="24"/>
        </w:rPr>
        <w:t xml:space="preserve"> que, como também referimos, será </w:t>
      </w:r>
      <w:r w:rsidRPr="00E654E0">
        <w:rPr>
          <w:rFonts w:ascii="Times New Roman" w:hAnsi="Times New Roman" w:cs="Times New Roman"/>
          <w:i/>
          <w:sz w:val="24"/>
          <w:szCs w:val="24"/>
        </w:rPr>
        <w:t>mais ou menos vasta em função dos resultados da violação</w:t>
      </w:r>
      <w:r w:rsidRPr="00E654E0">
        <w:rPr>
          <w:rStyle w:val="Refdenotaderodap"/>
          <w:rFonts w:ascii="Times New Roman" w:hAnsi="Times New Roman" w:cs="Times New Roman"/>
          <w:i/>
          <w:sz w:val="24"/>
          <w:szCs w:val="24"/>
        </w:rPr>
        <w:footnoteReference w:id="48"/>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Na maioria das vezes a Administração Tributária, por falta de elementos que permitam apurar a real situação financeira do contribuinte e por força do princípio do inquisitório, recorre ao procedimento de inspeção tributária. </w:t>
      </w: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sz w:val="24"/>
          <w:szCs w:val="24"/>
        </w:rPr>
        <w:t xml:space="preserve">O procedimento de inspeção tributária, tal como o método declarativo e presuntivo de determinação de rendimentos, </w:t>
      </w:r>
      <w:r w:rsidRPr="00E654E0">
        <w:rPr>
          <w:rFonts w:ascii="Times New Roman" w:hAnsi="Times New Roman" w:cs="Times New Roman"/>
          <w:i/>
          <w:sz w:val="24"/>
          <w:szCs w:val="24"/>
        </w:rPr>
        <w:t>é prévio à liquidação de tributos, sendo, na maioria das vezes, antecedente e consequente do ato de liquidação adicional</w:t>
      </w:r>
      <w:r w:rsidRPr="00E654E0">
        <w:rPr>
          <w:rStyle w:val="Refdenotaderodap"/>
          <w:rFonts w:ascii="Times New Roman" w:hAnsi="Times New Roman" w:cs="Times New Roman"/>
          <w:i/>
          <w:sz w:val="24"/>
          <w:szCs w:val="24"/>
        </w:rPr>
        <w:footnoteReference w:id="49"/>
      </w:r>
      <w:r w:rsidRPr="00E654E0">
        <w:rPr>
          <w:rFonts w:ascii="Times New Roman" w:hAnsi="Times New Roman" w:cs="Times New Roman"/>
          <w:i/>
          <w:sz w:val="24"/>
          <w:szCs w:val="24"/>
        </w:rPr>
        <w:t>.</w:t>
      </w:r>
    </w:p>
    <w:p w:rsidR="00036D26" w:rsidRPr="00E654E0" w:rsidRDefault="00036D26" w:rsidP="00036D26">
      <w:pPr>
        <w:pStyle w:val="NormalWeb"/>
        <w:shd w:val="clear" w:color="auto" w:fill="FFFFFF"/>
        <w:spacing w:before="0" w:beforeAutospacing="0" w:after="240" w:afterAutospacing="0" w:line="360" w:lineRule="auto"/>
        <w:ind w:firstLine="708"/>
        <w:jc w:val="both"/>
        <w:rPr>
          <w:color w:val="000000"/>
        </w:rPr>
      </w:pPr>
      <w:r w:rsidRPr="00E654E0">
        <w:t>Aquele procedimento visa a determinação do rendimento real do contribuinte com a consequente verificação do cumprimento das obrigações tributárias e prevenção das infrações tributárias</w:t>
      </w:r>
      <w:r w:rsidRPr="00E654E0">
        <w:rPr>
          <w:rStyle w:val="Refdenotaderodap"/>
        </w:rPr>
        <w:footnoteReference w:id="50"/>
      </w:r>
      <w:r w:rsidRPr="00E654E0">
        <w:t xml:space="preserve">, através de uma ou mais atuações da Administração Tributária previstas no artigo 2.º número </w:t>
      </w:r>
      <w:r>
        <w:t xml:space="preserve">2 </w:t>
      </w:r>
      <w:r w:rsidRPr="00E654E0">
        <w:t xml:space="preserve">do </w:t>
      </w:r>
      <w:r w:rsidRPr="00E654E0">
        <w:rPr>
          <w:color w:val="000000"/>
        </w:rPr>
        <w:t>Regime Complementar do Procedimento de Inspeção Tributária e Aduaneira</w:t>
      </w:r>
      <w:r w:rsidRPr="00E654E0">
        <w:t>.</w:t>
      </w:r>
    </w:p>
    <w:p w:rsidR="00036D26" w:rsidRPr="00E654E0" w:rsidRDefault="00036D26" w:rsidP="00036D26">
      <w:pPr>
        <w:spacing w:line="360" w:lineRule="auto"/>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ab/>
        <w:t>PAULO MARQUES, acompanhando CASALTA NABAIS, refere como princípio estruturante da atividade inspetiva o direito fundamental à eficácia fiscal nas suas duas vertentes, enquanto dever do contribuinte de pagar impostos e enquanto direito daquele exigir do Estado que todos os</w:t>
      </w:r>
      <w:r>
        <w:rPr>
          <w:rFonts w:ascii="Times New Roman" w:eastAsia="Times New Roman" w:hAnsi="Times New Roman" w:cs="Times New Roman"/>
          <w:color w:val="000000"/>
          <w:sz w:val="24"/>
          <w:szCs w:val="24"/>
          <w:lang w:eastAsia="pt-PT"/>
        </w:rPr>
        <w:t xml:space="preserve"> membros da comunidade contribuam segundo</w:t>
      </w:r>
      <w:r w:rsidRPr="00E654E0">
        <w:rPr>
          <w:rFonts w:ascii="Times New Roman" w:eastAsia="Times New Roman" w:hAnsi="Times New Roman" w:cs="Times New Roman"/>
          <w:color w:val="000000"/>
          <w:sz w:val="24"/>
          <w:szCs w:val="24"/>
          <w:lang w:eastAsia="pt-PT"/>
        </w:rPr>
        <w:t xml:space="preserve"> a sua capacidade contributiva para os fins públicos que incumbe ao Estado realizar</w:t>
      </w:r>
      <w:r w:rsidRPr="00E654E0">
        <w:rPr>
          <w:rStyle w:val="Refdenotaderodap"/>
          <w:rFonts w:ascii="Times New Roman" w:eastAsia="Times New Roman" w:hAnsi="Times New Roman" w:cs="Times New Roman"/>
          <w:color w:val="000000"/>
          <w:sz w:val="24"/>
          <w:szCs w:val="24"/>
          <w:lang w:eastAsia="pt-PT"/>
        </w:rPr>
        <w:footnoteReference w:id="51"/>
      </w:r>
      <w:r w:rsidRPr="00E654E0">
        <w:rPr>
          <w:rFonts w:ascii="Times New Roman" w:eastAsia="Times New Roman" w:hAnsi="Times New Roman" w:cs="Times New Roman"/>
          <w:color w:val="000000"/>
          <w:sz w:val="24"/>
          <w:szCs w:val="24"/>
          <w:lang w:eastAsia="pt-PT"/>
        </w:rPr>
        <w:t xml:space="preserve">.  </w:t>
      </w:r>
    </w:p>
    <w:p w:rsidR="00036D26" w:rsidRPr="00E654E0" w:rsidRDefault="00036D26" w:rsidP="00036D26">
      <w:pPr>
        <w:spacing w:line="360" w:lineRule="auto"/>
        <w:ind w:firstLine="708"/>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 xml:space="preserve">Os princípios orientadores do procedimento de inspeção tributária estão previstos, regra geral, no Capítulo II do Regime Complementar do Procedimento de Inspeção Tributária e Aduaneira – </w:t>
      </w:r>
      <w:r w:rsidRPr="00E654E0">
        <w:rPr>
          <w:rFonts w:ascii="Times New Roman" w:eastAsia="Times New Roman" w:hAnsi="Times New Roman" w:cs="Times New Roman"/>
          <w:i/>
          <w:color w:val="000000"/>
          <w:sz w:val="24"/>
          <w:szCs w:val="24"/>
          <w:lang w:eastAsia="pt-PT"/>
        </w:rPr>
        <w:t>princípio da verdade material, da proporcionalidade, do contraditório e da cooperação</w:t>
      </w:r>
      <w:r w:rsidRPr="00E654E0">
        <w:rPr>
          <w:rFonts w:ascii="Times New Roman" w:eastAsia="Times New Roman" w:hAnsi="Times New Roman" w:cs="Times New Roman"/>
          <w:color w:val="000000"/>
          <w:sz w:val="24"/>
          <w:szCs w:val="24"/>
          <w:lang w:eastAsia="pt-PT"/>
        </w:rPr>
        <w:t xml:space="preserve"> – e partilham das mesmas características que os princípios previstos na Lei Geral Tributária e no Código de Procedimento e Processo Tributário, enunciados anteriormente.</w:t>
      </w:r>
    </w:p>
    <w:p w:rsidR="00036D26" w:rsidRPr="00E654E0" w:rsidRDefault="00036D26" w:rsidP="00036D26">
      <w:pPr>
        <w:spacing w:line="360" w:lineRule="auto"/>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ab/>
        <w:t>O procedimento de inspeção tributária, embora seja geralmente da iniciativa da Autoridade Tributária e Aduaneira, poderá resultar de participação, denúncia, pedido do próprio sujeito passivo ou mesmo de terceiro com a autorização daquele</w:t>
      </w:r>
      <w:r w:rsidRPr="00E654E0">
        <w:rPr>
          <w:rStyle w:val="Refdenotaderodap"/>
          <w:rFonts w:ascii="Times New Roman" w:eastAsia="Times New Roman" w:hAnsi="Times New Roman" w:cs="Times New Roman"/>
          <w:color w:val="000000"/>
          <w:sz w:val="24"/>
          <w:szCs w:val="24"/>
          <w:lang w:eastAsia="pt-PT"/>
        </w:rPr>
        <w:footnoteReference w:id="52"/>
      </w:r>
      <w:r w:rsidRPr="00E654E0">
        <w:rPr>
          <w:rFonts w:ascii="Times New Roman" w:eastAsia="Times New Roman" w:hAnsi="Times New Roman" w:cs="Times New Roman"/>
          <w:color w:val="000000"/>
          <w:sz w:val="24"/>
          <w:szCs w:val="24"/>
          <w:lang w:eastAsia="pt-PT"/>
        </w:rPr>
        <w:t xml:space="preserve">. </w:t>
      </w:r>
    </w:p>
    <w:p w:rsidR="00036D26" w:rsidRPr="00E654E0" w:rsidRDefault="00036D26" w:rsidP="00036D26">
      <w:pPr>
        <w:spacing w:line="360" w:lineRule="auto"/>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ab/>
        <w:t xml:space="preserve">Quanto ao </w:t>
      </w:r>
      <w:r w:rsidRPr="00E654E0">
        <w:rPr>
          <w:rFonts w:ascii="Times New Roman" w:eastAsia="Times New Roman" w:hAnsi="Times New Roman" w:cs="Times New Roman"/>
          <w:i/>
          <w:color w:val="000000"/>
          <w:sz w:val="24"/>
          <w:szCs w:val="24"/>
          <w:lang w:eastAsia="pt-PT"/>
        </w:rPr>
        <w:t>fim</w:t>
      </w:r>
      <w:r w:rsidRPr="00E654E0">
        <w:rPr>
          <w:rFonts w:ascii="Times New Roman" w:eastAsia="Times New Roman" w:hAnsi="Times New Roman" w:cs="Times New Roman"/>
          <w:color w:val="000000"/>
          <w:sz w:val="24"/>
          <w:szCs w:val="24"/>
          <w:lang w:eastAsia="pt-PT"/>
        </w:rPr>
        <w:t xml:space="preserve"> daquele procedimento, interessa-nos o que permite a comprovação e verificação do cumprimento das obrigações dos sujeitos passivos</w:t>
      </w:r>
      <w:r w:rsidRPr="00E654E0">
        <w:rPr>
          <w:rStyle w:val="Refdenotaderodap"/>
          <w:rFonts w:ascii="Times New Roman" w:eastAsia="Times New Roman" w:hAnsi="Times New Roman" w:cs="Times New Roman"/>
          <w:color w:val="000000"/>
          <w:sz w:val="24"/>
          <w:szCs w:val="24"/>
          <w:lang w:eastAsia="pt-PT"/>
        </w:rPr>
        <w:footnoteReference w:id="53"/>
      </w:r>
      <w:r w:rsidRPr="00E654E0">
        <w:rPr>
          <w:rFonts w:ascii="Times New Roman" w:eastAsia="Times New Roman" w:hAnsi="Times New Roman" w:cs="Times New Roman"/>
          <w:color w:val="000000"/>
          <w:sz w:val="24"/>
          <w:szCs w:val="24"/>
          <w:lang w:eastAsia="pt-PT"/>
        </w:rPr>
        <w:t xml:space="preserve">. </w:t>
      </w:r>
    </w:p>
    <w:p w:rsidR="00036D26" w:rsidRPr="00E654E0" w:rsidRDefault="00036D26" w:rsidP="00036D26">
      <w:pPr>
        <w:spacing w:line="360" w:lineRule="auto"/>
        <w:ind w:firstLine="708"/>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A inspeção poderá ser interna ou externa consoante os atos de inspeção se efetuem exclusivamente nos serviços da Administração Tributária ou, total ou parcialmente, em instalações e dependência dos sujeitos passivos ou demais obrigados tributários ou em qualquer outro local a que a Administração tenha acesso</w:t>
      </w:r>
      <w:r w:rsidRPr="00E654E0">
        <w:rPr>
          <w:rStyle w:val="Refdenotaderodap"/>
          <w:rFonts w:ascii="Times New Roman" w:eastAsia="Times New Roman" w:hAnsi="Times New Roman" w:cs="Times New Roman"/>
          <w:color w:val="000000"/>
          <w:sz w:val="24"/>
          <w:szCs w:val="24"/>
          <w:lang w:eastAsia="pt-PT"/>
        </w:rPr>
        <w:footnoteReference w:id="54"/>
      </w:r>
      <w:r w:rsidRPr="00E654E0">
        <w:rPr>
          <w:rFonts w:ascii="Times New Roman" w:eastAsia="Times New Roman" w:hAnsi="Times New Roman" w:cs="Times New Roman"/>
          <w:color w:val="000000"/>
          <w:sz w:val="24"/>
          <w:szCs w:val="24"/>
          <w:lang w:eastAsia="pt-PT"/>
        </w:rPr>
        <w:t xml:space="preserve">. Relativamente ao </w:t>
      </w:r>
      <w:r w:rsidRPr="00E654E0">
        <w:rPr>
          <w:rFonts w:ascii="Times New Roman" w:eastAsia="Times New Roman" w:hAnsi="Times New Roman" w:cs="Times New Roman"/>
          <w:i/>
          <w:color w:val="000000"/>
          <w:sz w:val="24"/>
          <w:szCs w:val="24"/>
          <w:lang w:eastAsia="pt-PT"/>
        </w:rPr>
        <w:t>âmbito</w:t>
      </w:r>
      <w:r w:rsidRPr="00E654E0">
        <w:rPr>
          <w:rFonts w:ascii="Times New Roman" w:eastAsia="Times New Roman" w:hAnsi="Times New Roman" w:cs="Times New Roman"/>
          <w:color w:val="000000"/>
          <w:sz w:val="24"/>
          <w:szCs w:val="24"/>
          <w:lang w:eastAsia="pt-PT"/>
        </w:rPr>
        <w:t xml:space="preserve"> e </w:t>
      </w:r>
      <w:r w:rsidRPr="00E654E0">
        <w:rPr>
          <w:rFonts w:ascii="Times New Roman" w:eastAsia="Times New Roman" w:hAnsi="Times New Roman" w:cs="Times New Roman"/>
          <w:i/>
          <w:color w:val="000000"/>
          <w:sz w:val="24"/>
          <w:szCs w:val="24"/>
          <w:lang w:eastAsia="pt-PT"/>
        </w:rPr>
        <w:t>extensão</w:t>
      </w:r>
      <w:r w:rsidRPr="00E654E0">
        <w:rPr>
          <w:rFonts w:ascii="Times New Roman" w:eastAsia="Times New Roman" w:hAnsi="Times New Roman" w:cs="Times New Roman"/>
          <w:color w:val="000000"/>
          <w:sz w:val="24"/>
          <w:szCs w:val="24"/>
          <w:lang w:eastAsia="pt-PT"/>
        </w:rPr>
        <w:t xml:space="preserve"> da inspeção, o artigo 15.º número</w:t>
      </w:r>
      <w:r w:rsidRPr="00E654E0">
        <w:rPr>
          <w:rFonts w:ascii="Times New Roman" w:eastAsia="Times New Roman" w:hAnsi="Times New Roman" w:cs="Times New Roman"/>
          <w:i/>
          <w:color w:val="000000"/>
          <w:sz w:val="24"/>
          <w:szCs w:val="24"/>
          <w:lang w:eastAsia="pt-PT"/>
        </w:rPr>
        <w:t xml:space="preserve"> </w:t>
      </w:r>
      <w:r w:rsidRPr="00E654E0">
        <w:rPr>
          <w:rFonts w:ascii="Times New Roman" w:eastAsia="Times New Roman" w:hAnsi="Times New Roman" w:cs="Times New Roman"/>
          <w:color w:val="000000"/>
          <w:sz w:val="24"/>
          <w:szCs w:val="24"/>
          <w:lang w:eastAsia="pt-PT"/>
        </w:rPr>
        <w:t>1 e 3</w:t>
      </w:r>
      <w:r>
        <w:rPr>
          <w:rFonts w:ascii="Times New Roman" w:eastAsia="Times New Roman" w:hAnsi="Times New Roman" w:cs="Times New Roman"/>
          <w:color w:val="000000"/>
          <w:sz w:val="24"/>
          <w:szCs w:val="24"/>
          <w:lang w:eastAsia="pt-PT"/>
        </w:rPr>
        <w:t xml:space="preserve"> do </w:t>
      </w:r>
      <w:r w:rsidRPr="00E654E0">
        <w:rPr>
          <w:rFonts w:ascii="Times New Roman" w:eastAsia="Times New Roman" w:hAnsi="Times New Roman" w:cs="Times New Roman"/>
          <w:color w:val="000000"/>
          <w:sz w:val="24"/>
          <w:szCs w:val="24"/>
          <w:lang w:eastAsia="pt-PT"/>
        </w:rPr>
        <w:t xml:space="preserve">Regime Complementar do Procedimento de Inspeção Tributária e Aduaneira indica-nos quando será geral ou parcial, englobando um ou mais períodos de tributação. </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eastAsia="Times New Roman" w:hAnsi="Times New Roman" w:cs="Times New Roman"/>
          <w:color w:val="000000"/>
          <w:sz w:val="24"/>
          <w:szCs w:val="24"/>
          <w:lang w:eastAsia="pt-PT"/>
        </w:rPr>
        <w:tab/>
        <w:t xml:space="preserve">A </w:t>
      </w:r>
      <w:r w:rsidRPr="00E654E0">
        <w:rPr>
          <w:rFonts w:ascii="Times New Roman" w:eastAsia="Times New Roman" w:hAnsi="Times New Roman" w:cs="Times New Roman"/>
          <w:i/>
          <w:color w:val="000000"/>
          <w:sz w:val="24"/>
          <w:szCs w:val="24"/>
          <w:lang w:eastAsia="pt-PT"/>
        </w:rPr>
        <w:t xml:space="preserve">competência </w:t>
      </w:r>
      <w:r w:rsidRPr="00E654E0">
        <w:rPr>
          <w:rFonts w:ascii="Times New Roman" w:eastAsia="Times New Roman" w:hAnsi="Times New Roman" w:cs="Times New Roman"/>
          <w:color w:val="000000"/>
          <w:sz w:val="24"/>
          <w:szCs w:val="24"/>
          <w:lang w:eastAsia="pt-PT"/>
        </w:rPr>
        <w:t xml:space="preserve">para a prática de atos de inspeção será de uma das entidades previstas no artigo 16.º do Regime Complementar do Procedimento de Inspeção Tributária e Aduaneira, sendo os inspecionados </w:t>
      </w:r>
      <w:r w:rsidRPr="00E654E0">
        <w:rPr>
          <w:rFonts w:ascii="Times New Roman" w:hAnsi="Times New Roman" w:cs="Times New Roman"/>
          <w:color w:val="000000"/>
          <w:sz w:val="24"/>
          <w:szCs w:val="24"/>
          <w:shd w:val="clear" w:color="auto" w:fill="FFFFFF"/>
        </w:rPr>
        <w:t>os sujeitos passivos e demais obrigados tributários cuja situação tributária se pretenda averiguar, os substitutos e responsáveis solidários ou subsidiários, as sociedades dominadas e integradas no regime especial de tributação dos grupos de sociedades, os sócios das sociedades transparentes ou quaisquer outras pessoas que tenham colaborado nas infrações fiscais a investigar</w:t>
      </w:r>
      <w:r w:rsidRPr="00E654E0">
        <w:rPr>
          <w:rStyle w:val="Refdenotaderodap"/>
          <w:rFonts w:ascii="Times New Roman" w:hAnsi="Times New Roman" w:cs="Times New Roman"/>
          <w:color w:val="000000"/>
          <w:sz w:val="24"/>
          <w:szCs w:val="24"/>
          <w:shd w:val="clear" w:color="auto" w:fill="FFFFFF"/>
        </w:rPr>
        <w:footnoteReference w:id="55"/>
      </w:r>
      <w:r w:rsidRPr="00E654E0">
        <w:rPr>
          <w:rFonts w:ascii="Times New Roman" w:hAnsi="Times New Roman" w:cs="Times New Roman"/>
          <w:color w:val="000000"/>
          <w:sz w:val="24"/>
          <w:szCs w:val="24"/>
          <w:shd w:val="clear" w:color="auto" w:fill="FFFFFF"/>
        </w:rPr>
        <w:t>.</w:t>
      </w:r>
    </w:p>
    <w:p w:rsidR="00036D26" w:rsidRPr="00E654E0" w:rsidRDefault="00036D26" w:rsidP="00036D26">
      <w:pPr>
        <w:spacing w:line="360" w:lineRule="auto"/>
        <w:jc w:val="both"/>
        <w:rPr>
          <w:rFonts w:ascii="Times New Roman" w:eastAsia="Times New Roman" w:hAnsi="Times New Roman" w:cs="Times New Roman"/>
          <w:color w:val="000000"/>
          <w:sz w:val="24"/>
          <w:szCs w:val="24"/>
          <w:lang w:eastAsia="pt-PT"/>
        </w:rPr>
      </w:pPr>
      <w:r w:rsidRPr="00E654E0">
        <w:rPr>
          <w:rFonts w:ascii="Times New Roman" w:eastAsia="Times New Roman" w:hAnsi="Times New Roman" w:cs="Times New Roman"/>
          <w:color w:val="000000"/>
          <w:sz w:val="24"/>
          <w:szCs w:val="24"/>
          <w:lang w:eastAsia="pt-PT"/>
        </w:rPr>
        <w:tab/>
        <w:t>O procedimento de inspeção inicia-se com a primeira notificação do contribuinte, prevista no artigo 49.º do Regime Complementar do Procedimento de Inspeção Tributária e Aduaneira</w:t>
      </w:r>
      <w:r w:rsidRPr="00E654E0">
        <w:rPr>
          <w:rStyle w:val="Refdenotaderodap"/>
          <w:rFonts w:ascii="Times New Roman" w:eastAsia="Times New Roman" w:hAnsi="Times New Roman" w:cs="Times New Roman"/>
          <w:color w:val="000000"/>
          <w:sz w:val="24"/>
          <w:szCs w:val="24"/>
          <w:lang w:eastAsia="pt-PT"/>
        </w:rPr>
        <w:footnoteReference w:id="56"/>
      </w:r>
      <w:r w:rsidRPr="00E654E0">
        <w:rPr>
          <w:rFonts w:ascii="Times New Roman" w:eastAsia="Times New Roman" w:hAnsi="Times New Roman" w:cs="Times New Roman"/>
          <w:color w:val="000000"/>
          <w:sz w:val="24"/>
          <w:szCs w:val="24"/>
          <w:lang w:eastAsia="pt-PT"/>
        </w:rPr>
        <w:t>, e com a sua respetiva assinatura da ordem de serviço ou do despacho que determ</w:t>
      </w:r>
      <w:r>
        <w:rPr>
          <w:rFonts w:ascii="Times New Roman" w:eastAsia="Times New Roman" w:hAnsi="Times New Roman" w:cs="Times New Roman"/>
          <w:color w:val="000000"/>
          <w:sz w:val="24"/>
          <w:szCs w:val="24"/>
          <w:lang w:eastAsia="pt-PT"/>
        </w:rPr>
        <w:t xml:space="preserve">inou a inspeção, </w:t>
      </w:r>
      <w:r w:rsidRPr="00E654E0">
        <w:rPr>
          <w:rFonts w:ascii="Times New Roman" w:eastAsia="Times New Roman" w:hAnsi="Times New Roman" w:cs="Times New Roman"/>
          <w:color w:val="000000"/>
          <w:sz w:val="24"/>
          <w:szCs w:val="24"/>
          <w:lang w:eastAsia="pt-PT"/>
        </w:rPr>
        <w:t>artigo 51.º da mesma lei</w:t>
      </w:r>
      <w:r>
        <w:rPr>
          <w:rFonts w:ascii="Times New Roman" w:eastAsia="Times New Roman" w:hAnsi="Times New Roman" w:cs="Times New Roman"/>
          <w:color w:val="000000"/>
          <w:sz w:val="24"/>
          <w:szCs w:val="24"/>
          <w:lang w:eastAsia="pt-PT"/>
        </w:rPr>
        <w:t>,</w:t>
      </w:r>
      <w:r w:rsidRPr="00E654E0">
        <w:rPr>
          <w:rFonts w:ascii="Times New Roman" w:eastAsia="Times New Roman" w:hAnsi="Times New Roman" w:cs="Times New Roman"/>
          <w:color w:val="000000"/>
          <w:sz w:val="24"/>
          <w:szCs w:val="24"/>
          <w:lang w:eastAsia="pt-PT"/>
        </w:rPr>
        <w:t xml:space="preserve"> terminando com a notificação ao sujeito passivo do relatório final</w:t>
      </w:r>
      <w:r w:rsidRPr="00E654E0">
        <w:rPr>
          <w:rStyle w:val="Refdenotaderodap"/>
          <w:rFonts w:ascii="Times New Roman" w:hAnsi="Times New Roman" w:cs="Times New Roman"/>
          <w:color w:val="000000"/>
          <w:sz w:val="24"/>
          <w:szCs w:val="24"/>
          <w:shd w:val="clear" w:color="auto" w:fill="FFFFFF"/>
        </w:rPr>
        <w:footnoteReference w:id="57"/>
      </w:r>
      <w:r>
        <w:rPr>
          <w:rFonts w:ascii="Times New Roman" w:eastAsia="Times New Roman" w:hAnsi="Times New Roman" w:cs="Times New Roman"/>
          <w:color w:val="000000"/>
          <w:sz w:val="24"/>
          <w:szCs w:val="24"/>
          <w:lang w:eastAsia="pt-PT"/>
        </w:rPr>
        <w:t>,</w:t>
      </w:r>
      <w:r w:rsidRPr="00E654E0">
        <w:rPr>
          <w:rFonts w:ascii="Times New Roman" w:eastAsia="Times New Roman" w:hAnsi="Times New Roman" w:cs="Times New Roman"/>
          <w:color w:val="000000"/>
          <w:sz w:val="24"/>
          <w:szCs w:val="24"/>
          <w:lang w:eastAsia="pt-PT"/>
        </w:rPr>
        <w:t xml:space="preserve"> com a devida fundamentação.</w:t>
      </w:r>
    </w:p>
    <w:p w:rsidR="00036D26" w:rsidRPr="00E654E0" w:rsidRDefault="00036D26" w:rsidP="00036D26">
      <w:pPr>
        <w:spacing w:line="360" w:lineRule="auto"/>
        <w:jc w:val="both"/>
        <w:rPr>
          <w:rFonts w:ascii="Times New Roman" w:hAnsi="Times New Roman" w:cs="Times New Roman"/>
          <w:i/>
          <w:color w:val="000000"/>
          <w:sz w:val="24"/>
          <w:szCs w:val="24"/>
          <w:shd w:val="clear" w:color="auto" w:fill="FFFFFF"/>
        </w:rPr>
      </w:pPr>
      <w:r w:rsidRPr="00E654E0">
        <w:rPr>
          <w:rFonts w:ascii="Times New Roman" w:eastAsia="Times New Roman" w:hAnsi="Times New Roman" w:cs="Times New Roman"/>
          <w:color w:val="000000"/>
          <w:sz w:val="24"/>
          <w:szCs w:val="24"/>
          <w:lang w:eastAsia="pt-PT"/>
        </w:rPr>
        <w:tab/>
      </w:r>
      <w:r w:rsidRPr="00E654E0">
        <w:rPr>
          <w:rFonts w:ascii="Times New Roman" w:hAnsi="Times New Roman" w:cs="Times New Roman"/>
          <w:color w:val="000000"/>
          <w:sz w:val="24"/>
          <w:szCs w:val="24"/>
          <w:shd w:val="clear" w:color="auto" w:fill="FFFFFF"/>
        </w:rPr>
        <w:t>A fundamentação é um direito fundamental dos administrados perante a Administração, estando constitucionalmente previsto no artigo 268.º número 3 da Constituição da República Portuguesa</w:t>
      </w:r>
      <w:r w:rsidRPr="00E654E0">
        <w:rPr>
          <w:rStyle w:val="Refdenotaderodap"/>
          <w:rFonts w:ascii="Times New Roman" w:hAnsi="Times New Roman" w:cs="Times New Roman"/>
          <w:color w:val="000000"/>
          <w:sz w:val="24"/>
          <w:szCs w:val="24"/>
          <w:shd w:val="clear" w:color="auto" w:fill="FFFFFF"/>
        </w:rPr>
        <w:footnoteReference w:id="58"/>
      </w:r>
      <w:r w:rsidRPr="00E654E0">
        <w:rPr>
          <w:rFonts w:ascii="Times New Roman" w:hAnsi="Times New Roman" w:cs="Times New Roman"/>
          <w:color w:val="000000"/>
          <w:sz w:val="24"/>
          <w:szCs w:val="24"/>
          <w:shd w:val="clear" w:color="auto" w:fill="FFFFFF"/>
        </w:rPr>
        <w:t xml:space="preserve">. A fundamentação deve permitir ao administrado captar claramente as razões de facto e de direito que levaram a </w:t>
      </w:r>
      <w:r w:rsidRPr="00E654E0">
        <w:rPr>
          <w:rFonts w:ascii="Times New Roman" w:hAnsi="Times New Roman" w:cs="Times New Roman"/>
          <w:i/>
          <w:color w:val="000000"/>
          <w:sz w:val="24"/>
          <w:szCs w:val="24"/>
          <w:shd w:val="clear" w:color="auto" w:fill="FFFFFF"/>
        </w:rPr>
        <w:t>autoridade administrativa a agir,</w:t>
      </w:r>
      <w:r w:rsidRPr="00E654E0">
        <w:rPr>
          <w:rFonts w:ascii="Times New Roman" w:hAnsi="Times New Roman" w:cs="Times New Roman"/>
          <w:color w:val="000000"/>
          <w:sz w:val="24"/>
          <w:szCs w:val="24"/>
          <w:shd w:val="clear" w:color="auto" w:fill="FFFFFF"/>
        </w:rPr>
        <w:t xml:space="preserve"> </w:t>
      </w:r>
      <w:r w:rsidRPr="00E654E0">
        <w:rPr>
          <w:rFonts w:ascii="Times New Roman" w:hAnsi="Times New Roman" w:cs="Times New Roman"/>
          <w:i/>
          <w:color w:val="000000"/>
          <w:sz w:val="24"/>
          <w:szCs w:val="24"/>
          <w:shd w:val="clear" w:color="auto" w:fill="FFFFFF"/>
        </w:rPr>
        <w:t>por forma a possibilitar-lhes uma opção consciente entre a aceitação da legalidade do ato e a sua impugnação contenciosa</w:t>
      </w:r>
      <w:r w:rsidRPr="00E654E0">
        <w:rPr>
          <w:rStyle w:val="Refdenotaderodap"/>
          <w:rFonts w:ascii="Times New Roman" w:hAnsi="Times New Roman" w:cs="Times New Roman"/>
          <w:i/>
          <w:color w:val="000000"/>
          <w:sz w:val="24"/>
          <w:szCs w:val="24"/>
          <w:shd w:val="clear" w:color="auto" w:fill="FFFFFF"/>
        </w:rPr>
        <w:footnoteReference w:id="59"/>
      </w:r>
      <w:r w:rsidRPr="00E654E0">
        <w:rPr>
          <w:rFonts w:ascii="Times New Roman" w:hAnsi="Times New Roman" w:cs="Times New Roman"/>
          <w:i/>
          <w:color w:val="000000"/>
          <w:sz w:val="24"/>
          <w:szCs w:val="24"/>
          <w:shd w:val="clear" w:color="auto" w:fill="FFFFFF"/>
        </w:rPr>
        <w:t xml:space="preserve">. </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hAnsi="Times New Roman" w:cs="Times New Roman"/>
          <w:i/>
          <w:color w:val="000000"/>
          <w:sz w:val="24"/>
          <w:szCs w:val="24"/>
          <w:shd w:val="clear" w:color="auto" w:fill="FFFFFF"/>
        </w:rPr>
        <w:tab/>
      </w:r>
      <w:r w:rsidRPr="00E654E0">
        <w:rPr>
          <w:rFonts w:ascii="Times New Roman" w:hAnsi="Times New Roman" w:cs="Times New Roman"/>
          <w:color w:val="000000"/>
          <w:sz w:val="24"/>
          <w:szCs w:val="24"/>
          <w:shd w:val="clear" w:color="auto" w:fill="FFFFFF"/>
        </w:rPr>
        <w:t>No artigo 77.º número 1 da Lei Geral Tributária</w:t>
      </w:r>
      <w:r>
        <w:rPr>
          <w:rFonts w:ascii="Times New Roman" w:hAnsi="Times New Roman" w:cs="Times New Roman"/>
          <w:color w:val="000000"/>
          <w:sz w:val="24"/>
          <w:szCs w:val="24"/>
          <w:shd w:val="clear" w:color="auto" w:fill="FFFFFF"/>
        </w:rPr>
        <w:t>,</w:t>
      </w:r>
      <w:r w:rsidRPr="00E654E0">
        <w:rPr>
          <w:rFonts w:ascii="Times New Roman" w:hAnsi="Times New Roman" w:cs="Times New Roman"/>
          <w:color w:val="000000"/>
          <w:sz w:val="24"/>
          <w:szCs w:val="24"/>
          <w:shd w:val="clear" w:color="auto" w:fill="FFFFFF"/>
        </w:rPr>
        <w:t xml:space="preserve"> prevê-se a necessidade de fundamentação de todas as decisões do procedimento tributário, sejam elas favoráveis ou desfavoráveis aos sujeitos passivos, podendo essa fundamentação consistir em mera declaração de concordância com os fundamentos de anteriores pareceres, informações ou propostas, incluindo os que integrem o relatório de fiscalização tributária. Deverá ser suficiente, clara e congruente</w:t>
      </w:r>
      <w:r w:rsidRPr="00E654E0">
        <w:rPr>
          <w:rStyle w:val="Refdenotaderodap"/>
          <w:rFonts w:ascii="Times New Roman" w:hAnsi="Times New Roman" w:cs="Times New Roman"/>
          <w:color w:val="000000"/>
          <w:sz w:val="24"/>
          <w:szCs w:val="24"/>
          <w:shd w:val="clear" w:color="auto" w:fill="FFFFFF"/>
        </w:rPr>
        <w:footnoteReference w:id="60"/>
      </w:r>
      <w:r w:rsidRPr="00E654E0">
        <w:rPr>
          <w:rFonts w:ascii="Times New Roman" w:hAnsi="Times New Roman" w:cs="Times New Roman"/>
          <w:i/>
          <w:color w:val="000000"/>
          <w:sz w:val="24"/>
          <w:szCs w:val="24"/>
          <w:shd w:val="clear" w:color="auto" w:fill="FFFFFF"/>
        </w:rPr>
        <w:t xml:space="preserve">, </w:t>
      </w:r>
      <w:r w:rsidRPr="00E654E0">
        <w:rPr>
          <w:rFonts w:ascii="Times New Roman" w:hAnsi="Times New Roman" w:cs="Times New Roman"/>
          <w:color w:val="000000"/>
          <w:sz w:val="24"/>
          <w:szCs w:val="24"/>
          <w:shd w:val="clear" w:color="auto" w:fill="FFFFFF"/>
        </w:rPr>
        <w:t>com conteúdo bastante e acessível</w:t>
      </w:r>
      <w:r>
        <w:rPr>
          <w:rFonts w:ascii="Times New Roman" w:hAnsi="Times New Roman" w:cs="Times New Roman"/>
          <w:color w:val="000000"/>
          <w:sz w:val="24"/>
          <w:szCs w:val="24"/>
          <w:shd w:val="clear" w:color="auto" w:fill="FFFFFF"/>
        </w:rPr>
        <w:t>,</w:t>
      </w:r>
      <w:r w:rsidRPr="00E654E0">
        <w:rPr>
          <w:rFonts w:ascii="Times New Roman" w:hAnsi="Times New Roman" w:cs="Times New Roman"/>
          <w:color w:val="000000"/>
          <w:sz w:val="24"/>
          <w:szCs w:val="24"/>
          <w:shd w:val="clear" w:color="auto" w:fill="FFFFFF"/>
        </w:rPr>
        <w:t xml:space="preserve"> de modo a permitir que seja facilmente compreendido pelo seu destinatário as razões por que foi tomada determinada decisão.</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hAnsi="Times New Roman" w:cs="Times New Roman"/>
          <w:color w:val="000000"/>
          <w:sz w:val="24"/>
          <w:szCs w:val="24"/>
          <w:shd w:val="clear" w:color="auto" w:fill="FFFFFF"/>
        </w:rPr>
        <w:tab/>
        <w:t>O número 4 daquele artigo 77.º</w:t>
      </w:r>
      <w:r>
        <w:rPr>
          <w:rFonts w:ascii="Times New Roman" w:hAnsi="Times New Roman" w:cs="Times New Roman"/>
          <w:color w:val="000000"/>
          <w:sz w:val="24"/>
          <w:szCs w:val="24"/>
          <w:shd w:val="clear" w:color="auto" w:fill="FFFFFF"/>
        </w:rPr>
        <w:t>,</w:t>
      </w:r>
      <w:r w:rsidRPr="00E654E0">
        <w:rPr>
          <w:rFonts w:ascii="Times New Roman" w:hAnsi="Times New Roman" w:cs="Times New Roman"/>
          <w:color w:val="000000"/>
          <w:sz w:val="24"/>
          <w:szCs w:val="24"/>
          <w:shd w:val="clear" w:color="auto" w:fill="FFFFFF"/>
        </w:rPr>
        <w:t xml:space="preserve"> prevê ainda requisitos especiais da fundamentação nos casos de avaliação indireta, são eles: exposição dos motivos da impossibilidade da comprovação e quantificação da matéria tributável por métodos declarativos, a necessidade de afastamento da matéria tributável do sujeito passivo dos indicadores objetivos da atividade de base científica, a indicação dos bens que se consideram manifestações de fortuna e os prejuízos fiscais relevantes, e, por último, os critérios utilizados na avaliação da matéria tributável. </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hAnsi="Times New Roman" w:cs="Times New Roman"/>
          <w:color w:val="000000"/>
          <w:sz w:val="24"/>
          <w:szCs w:val="24"/>
          <w:shd w:val="clear" w:color="auto" w:fill="FFFFFF"/>
        </w:rPr>
        <w:tab/>
        <w:t xml:space="preserve">No âmbito do procedimento de inspeção tributária, prevê-se no artigo 63.º do </w:t>
      </w:r>
      <w:r w:rsidRPr="00E654E0">
        <w:rPr>
          <w:rFonts w:ascii="Times New Roman" w:eastAsia="Times New Roman" w:hAnsi="Times New Roman" w:cs="Times New Roman"/>
          <w:color w:val="000000"/>
          <w:sz w:val="24"/>
          <w:szCs w:val="24"/>
          <w:lang w:eastAsia="pt-PT"/>
        </w:rPr>
        <w:t>Regime Complementar do Procedimento de Inspeção Tributária e Aduaneira</w:t>
      </w:r>
      <w:r w:rsidRPr="00E654E0">
        <w:rPr>
          <w:rFonts w:ascii="Times New Roman" w:hAnsi="Times New Roman" w:cs="Times New Roman"/>
          <w:color w:val="000000"/>
          <w:sz w:val="24"/>
          <w:szCs w:val="24"/>
          <w:shd w:val="clear" w:color="auto" w:fill="FFFFFF"/>
        </w:rPr>
        <w:t xml:space="preserve">, a possibilidade de uma fundamentação por remissão dos atos tributários ou em matéria tributária que resultem do relatório de inspeção. Deste modo, o ato de liquidação adicional, decorrente do procedimento de inspeção, </w:t>
      </w:r>
      <w:r w:rsidRPr="00E654E0">
        <w:rPr>
          <w:rFonts w:ascii="Times New Roman" w:hAnsi="Times New Roman" w:cs="Times New Roman"/>
          <w:i/>
          <w:color w:val="000000"/>
          <w:sz w:val="24"/>
          <w:szCs w:val="24"/>
          <w:shd w:val="clear" w:color="auto" w:fill="FFFFFF"/>
        </w:rPr>
        <w:t>poderá consistir numa mera declaração de concordância com os fundamentos constantes</w:t>
      </w:r>
      <w:r w:rsidRPr="00E654E0">
        <w:rPr>
          <w:rStyle w:val="Refdenotaderodap"/>
          <w:rFonts w:ascii="Times New Roman" w:hAnsi="Times New Roman" w:cs="Times New Roman"/>
          <w:i/>
          <w:color w:val="000000"/>
          <w:sz w:val="24"/>
          <w:szCs w:val="24"/>
          <w:shd w:val="clear" w:color="auto" w:fill="FFFFFF"/>
        </w:rPr>
        <w:footnoteReference w:id="61"/>
      </w:r>
      <w:r w:rsidRPr="00E654E0">
        <w:rPr>
          <w:rFonts w:ascii="Times New Roman" w:hAnsi="Times New Roman" w:cs="Times New Roman"/>
          <w:i/>
          <w:color w:val="000000"/>
          <w:sz w:val="24"/>
          <w:szCs w:val="24"/>
          <w:shd w:val="clear" w:color="auto" w:fill="FFFFFF"/>
        </w:rPr>
        <w:t xml:space="preserve"> </w:t>
      </w:r>
      <w:r w:rsidRPr="00E654E0">
        <w:rPr>
          <w:rFonts w:ascii="Times New Roman" w:hAnsi="Times New Roman" w:cs="Times New Roman"/>
          <w:color w:val="000000"/>
          <w:sz w:val="24"/>
          <w:szCs w:val="24"/>
          <w:shd w:val="clear" w:color="auto" w:fill="FFFFFF"/>
        </w:rPr>
        <w:t>do relatório final, devendo este relatório obedecer aos requisitos de fundamentação referidos em cima</w:t>
      </w:r>
      <w:r w:rsidRPr="00E654E0">
        <w:rPr>
          <w:rStyle w:val="Refdenotaderodap"/>
          <w:rFonts w:ascii="Times New Roman" w:hAnsi="Times New Roman" w:cs="Times New Roman"/>
          <w:color w:val="000000"/>
          <w:sz w:val="24"/>
          <w:szCs w:val="24"/>
          <w:shd w:val="clear" w:color="auto" w:fill="FFFFFF"/>
        </w:rPr>
        <w:footnoteReference w:id="62"/>
      </w:r>
      <w:r w:rsidRPr="00E654E0">
        <w:rPr>
          <w:rFonts w:ascii="Times New Roman" w:hAnsi="Times New Roman" w:cs="Times New Roman"/>
          <w:color w:val="000000"/>
          <w:sz w:val="24"/>
          <w:szCs w:val="24"/>
          <w:shd w:val="clear" w:color="auto" w:fill="FFFFFF"/>
        </w:rPr>
        <w:t>.</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hAnsi="Times New Roman" w:cs="Times New Roman"/>
          <w:color w:val="000000"/>
          <w:sz w:val="24"/>
          <w:szCs w:val="24"/>
          <w:shd w:val="clear" w:color="auto" w:fill="FFFFFF"/>
        </w:rPr>
        <w:tab/>
        <w:t xml:space="preserve">A falta ou vício de fundamentação legalmente exigida do relatório de inspeção que deu origem ao ato de liquidação adicional ou oficiosa gerará a anulabilidade deste, nos termos do artigo 99.º alínea </w:t>
      </w:r>
      <w:r w:rsidRPr="00E654E0">
        <w:rPr>
          <w:rFonts w:ascii="Times New Roman" w:hAnsi="Times New Roman" w:cs="Times New Roman"/>
          <w:i/>
          <w:color w:val="000000"/>
          <w:sz w:val="24"/>
          <w:szCs w:val="24"/>
          <w:shd w:val="clear" w:color="auto" w:fill="FFFFFF"/>
        </w:rPr>
        <w:t xml:space="preserve">c) </w:t>
      </w:r>
      <w:r w:rsidRPr="00E654E0">
        <w:rPr>
          <w:rFonts w:ascii="Times New Roman" w:hAnsi="Times New Roman" w:cs="Times New Roman"/>
          <w:color w:val="000000"/>
          <w:sz w:val="24"/>
          <w:szCs w:val="24"/>
          <w:shd w:val="clear" w:color="auto" w:fill="FFFFFF"/>
        </w:rPr>
        <w:t>do Código do Procedimento e Processo Tributário</w:t>
      </w:r>
      <w:r w:rsidRPr="00E654E0">
        <w:rPr>
          <w:rStyle w:val="Refdenotaderodap"/>
          <w:rFonts w:ascii="Times New Roman" w:hAnsi="Times New Roman" w:cs="Times New Roman"/>
          <w:color w:val="000000"/>
          <w:sz w:val="24"/>
          <w:szCs w:val="24"/>
          <w:shd w:val="clear" w:color="auto" w:fill="FFFFFF"/>
        </w:rPr>
        <w:footnoteReference w:id="63"/>
      </w:r>
      <w:r w:rsidRPr="00E654E0">
        <w:rPr>
          <w:rFonts w:ascii="Times New Roman" w:hAnsi="Times New Roman" w:cs="Times New Roman"/>
          <w:color w:val="000000"/>
          <w:sz w:val="24"/>
          <w:szCs w:val="24"/>
          <w:shd w:val="clear" w:color="auto" w:fill="FFFFFF"/>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Como segunda consequência, o cumprimento defeituoso do dever de cooperação manifestar-se-á no momento de decisão, os factos que se mantiverem menos esclarecedores implicarão uma maior margem de livre apreciação por parte da Administração Tributária.</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Enquanto aquelas duas consequências, em menor ou maior intensidade</w:t>
      </w:r>
      <w:r>
        <w:rPr>
          <w:rFonts w:ascii="Times New Roman" w:hAnsi="Times New Roman" w:cs="Times New Roman"/>
          <w:sz w:val="24"/>
          <w:szCs w:val="24"/>
        </w:rPr>
        <w:t>,</w:t>
      </w:r>
      <w:r w:rsidRPr="00E654E0">
        <w:rPr>
          <w:rFonts w:ascii="Times New Roman" w:hAnsi="Times New Roman" w:cs="Times New Roman"/>
          <w:sz w:val="24"/>
          <w:szCs w:val="24"/>
        </w:rPr>
        <w:t xml:space="preserve"> verificar-se-ão porque se revelam essenciais para o cumprimento das obrigações tributárias nas situações que os contribuintes tentem evadir-se, a terceira consequência poderá não se verificar em todos os casos, diz respeito à possibilidade de punição do contribuinte, seja através de uma coima ou de uma pena mais grave</w:t>
      </w:r>
      <w:r w:rsidRPr="00E654E0">
        <w:rPr>
          <w:rStyle w:val="Refdenotaderodap"/>
          <w:rFonts w:ascii="Times New Roman" w:hAnsi="Times New Roman" w:cs="Times New Roman"/>
          <w:sz w:val="24"/>
          <w:szCs w:val="24"/>
        </w:rPr>
        <w:footnoteReference w:id="64"/>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color w:val="000000"/>
          <w:sz w:val="24"/>
          <w:szCs w:val="24"/>
          <w:shd w:val="clear" w:color="auto" w:fill="FFFFFF"/>
        </w:rPr>
      </w:pPr>
      <w:r w:rsidRPr="00E654E0">
        <w:rPr>
          <w:rFonts w:ascii="Times New Roman" w:hAnsi="Times New Roman" w:cs="Times New Roman"/>
          <w:sz w:val="24"/>
          <w:szCs w:val="24"/>
        </w:rPr>
        <w:tab/>
        <w:t xml:space="preserve">Em sede de inspeção tributária também há um dever mútuo de cooperação - artigo 9.º do </w:t>
      </w:r>
      <w:r w:rsidRPr="00E654E0">
        <w:rPr>
          <w:rFonts w:ascii="Times New Roman" w:eastAsia="Times New Roman" w:hAnsi="Times New Roman" w:cs="Times New Roman"/>
          <w:color w:val="000000"/>
          <w:sz w:val="24"/>
          <w:szCs w:val="24"/>
          <w:lang w:eastAsia="pt-PT"/>
        </w:rPr>
        <w:t>Regime Complementar do Procedimento de Inspeção Tributária e Aduaneira</w:t>
      </w:r>
      <w:r w:rsidRPr="00E654E0">
        <w:rPr>
          <w:rFonts w:ascii="Times New Roman" w:hAnsi="Times New Roman" w:cs="Times New Roman"/>
          <w:sz w:val="24"/>
          <w:szCs w:val="24"/>
        </w:rPr>
        <w:t xml:space="preserve"> - o seu incumprimento ilegítimo e a oposição à </w:t>
      </w:r>
      <w:r w:rsidRPr="00E654E0">
        <w:rPr>
          <w:rFonts w:ascii="Times New Roman" w:hAnsi="Times New Roman" w:cs="Times New Roman"/>
          <w:color w:val="000000"/>
          <w:sz w:val="24"/>
          <w:szCs w:val="24"/>
          <w:shd w:val="clear" w:color="auto" w:fill="FFFFFF"/>
        </w:rPr>
        <w:t>ação da inspeção tributária, fazem incorrer o infrator em responsabilidade disciplinar, contraordenacional ou criminal, artigo 32.º daquela lei.</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Embora a regra seja o cumprimento do dever de colaboração, presumindo-se a boa-fé da atuação do contribuinte e a veracidade das suas declarações – </w:t>
      </w:r>
      <w:r w:rsidRPr="00E654E0">
        <w:rPr>
          <w:rFonts w:ascii="Times New Roman" w:hAnsi="Times New Roman" w:cs="Times New Roman"/>
          <w:i/>
          <w:sz w:val="24"/>
          <w:szCs w:val="24"/>
        </w:rPr>
        <w:t>princípio da verdade declarativa</w:t>
      </w:r>
      <w:r w:rsidRPr="00E654E0">
        <w:rPr>
          <w:rStyle w:val="Refdenotaderodap"/>
          <w:rFonts w:ascii="Times New Roman" w:hAnsi="Times New Roman" w:cs="Times New Roman"/>
          <w:i/>
          <w:sz w:val="24"/>
          <w:szCs w:val="24"/>
        </w:rPr>
        <w:footnoteReference w:id="65"/>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artigo 59.º número 2 e 75.º número 1 da Lei Geral Tributária</w:t>
      </w:r>
      <w:r>
        <w:rPr>
          <w:rFonts w:ascii="Times New Roman" w:hAnsi="Times New Roman" w:cs="Times New Roman"/>
          <w:sz w:val="24"/>
          <w:szCs w:val="24"/>
        </w:rPr>
        <w:t xml:space="preserve"> -</w:t>
      </w:r>
      <w:r w:rsidRPr="00E654E0">
        <w:rPr>
          <w:rFonts w:ascii="Times New Roman" w:hAnsi="Times New Roman" w:cs="Times New Roman"/>
          <w:sz w:val="24"/>
          <w:szCs w:val="24"/>
        </w:rPr>
        <w:t>, existem situações</w:t>
      </w:r>
      <w:r>
        <w:rPr>
          <w:rFonts w:ascii="Times New Roman" w:hAnsi="Times New Roman" w:cs="Times New Roman"/>
          <w:sz w:val="24"/>
          <w:szCs w:val="24"/>
        </w:rPr>
        <w:t>,</w:t>
      </w:r>
      <w:r w:rsidRPr="00E654E0">
        <w:rPr>
          <w:rFonts w:ascii="Times New Roman" w:hAnsi="Times New Roman" w:cs="Times New Roman"/>
          <w:sz w:val="24"/>
          <w:szCs w:val="24"/>
        </w:rPr>
        <w:t xml:space="preserve"> previstas na lei</w:t>
      </w:r>
      <w:r>
        <w:rPr>
          <w:rFonts w:ascii="Times New Roman" w:hAnsi="Times New Roman" w:cs="Times New Roman"/>
          <w:sz w:val="24"/>
          <w:szCs w:val="24"/>
        </w:rPr>
        <w:t>,</w:t>
      </w:r>
      <w:r w:rsidRPr="00E654E0">
        <w:rPr>
          <w:rFonts w:ascii="Times New Roman" w:hAnsi="Times New Roman" w:cs="Times New Roman"/>
          <w:sz w:val="24"/>
          <w:szCs w:val="24"/>
        </w:rPr>
        <w:t xml:space="preserve"> em que é legítima a sua recusa de cooperação com a Administração Tributária, não se verificando nenhuma das consequências enunciadas anteriormente.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Aquelas situações encontram-se previstas nos artigos 117.º número 2 do Código de Procedimento Administrativo, 63.º número 5 da Lei Geral Tributária e 47.º do </w:t>
      </w:r>
      <w:r w:rsidRPr="00E654E0">
        <w:rPr>
          <w:rFonts w:ascii="Times New Roman" w:eastAsia="Times New Roman" w:hAnsi="Times New Roman" w:cs="Times New Roman"/>
          <w:color w:val="000000"/>
          <w:sz w:val="24"/>
          <w:szCs w:val="24"/>
          <w:lang w:eastAsia="pt-PT"/>
        </w:rPr>
        <w:t>Regime Complementar do Procedimento de Inspeção Tributária e Aduaneira</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No artigo 117.º número 2 prevê-se a licitude da recusa de colaboração quando esta envolver a violação de sigilo profissional ou segredo comercial ou industrial, implicar o esclarecimento de factos cuja revelação esteja proibida ou dispensada por lei, importar a revelação de factos puníveis ou suscetíveis de causar dano moral ou material, ao próprio interessado, ao seu cônjuge ou seu ascendente ou descendente, irmão ou afim nos mesmos graus.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prova da existência dos factos que permitem ao contribuinte licitamente recusar-se a colaborar, compete ao próprio. Ou seja, tem ele o ónus de alegar a efetiva verificação de um dos fundamentos previstos no artigo 117.º número 2 que legitimam a sua recusa em cooperar</w:t>
      </w:r>
      <w:r w:rsidRPr="00E654E0">
        <w:rPr>
          <w:rStyle w:val="Refdenotaderodap"/>
          <w:rFonts w:ascii="Times New Roman" w:hAnsi="Times New Roman" w:cs="Times New Roman"/>
          <w:sz w:val="24"/>
          <w:szCs w:val="24"/>
        </w:rPr>
        <w:footnoteReference w:id="66"/>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Em sede de procedimento de inspeção tributária, a falta de cooperação também será legítima se as diligências a levar a cabo pelo órgão inspetor implicarem o acesso à habitação do contribuinte, a consulta de elementos abrangidos pelo segredo profissional ou outro dever de sigilo legalmente regulado, o acesso a factos da vida íntima dos cidadãos ou ainda a violação dos direitos de personalidade e outros direitos, liberdades e garantias dos cidadãos, nos termos e limites previstos na Constituição e na lei - artigo 63.º número 5 da Lei Geral Tributária.</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Por força daquele artigo 63.º, o seu número 6 prevê que a recusa de colaboração com fundamen</w:t>
      </w:r>
      <w:r>
        <w:rPr>
          <w:rFonts w:ascii="Times New Roman" w:hAnsi="Times New Roman" w:cs="Times New Roman"/>
          <w:sz w:val="24"/>
          <w:szCs w:val="24"/>
        </w:rPr>
        <w:t>to numa daquelas circunstâncias</w:t>
      </w:r>
      <w:r w:rsidRPr="00E654E0">
        <w:rPr>
          <w:rFonts w:ascii="Times New Roman" w:hAnsi="Times New Roman" w:cs="Times New Roman"/>
          <w:sz w:val="24"/>
          <w:szCs w:val="24"/>
        </w:rPr>
        <w:t xml:space="preserve"> impede a entidade competente de desenvolver a diligência, a não ser que seja concedida autorização pelo tribunal da comarca competente, mediante um pedido fundamentado da Administração Tributária. </w:t>
      </w:r>
    </w:p>
    <w:p w:rsidR="00036D26"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Por último, temos a falta de credenciação dos funcionários incumbidos de proceder aos </w:t>
      </w:r>
      <w:r>
        <w:rPr>
          <w:rFonts w:ascii="Times New Roman" w:hAnsi="Times New Roman" w:cs="Times New Roman"/>
          <w:sz w:val="24"/>
          <w:szCs w:val="24"/>
        </w:rPr>
        <w:t>atos de inspeção</w:t>
      </w:r>
      <w:r w:rsidRPr="00E654E0">
        <w:rPr>
          <w:rFonts w:ascii="Times New Roman" w:hAnsi="Times New Roman" w:cs="Times New Roman"/>
          <w:sz w:val="24"/>
          <w:szCs w:val="24"/>
        </w:rPr>
        <w:t xml:space="preserve"> que legítima a recusa de colaboração do sujeito passivo – artigo 47.º do </w:t>
      </w:r>
      <w:r w:rsidRPr="00E654E0">
        <w:rPr>
          <w:rFonts w:ascii="Times New Roman" w:eastAsia="Times New Roman" w:hAnsi="Times New Roman" w:cs="Times New Roman"/>
          <w:color w:val="000000"/>
          <w:sz w:val="24"/>
          <w:szCs w:val="24"/>
          <w:lang w:eastAsia="pt-PT"/>
        </w:rPr>
        <w:t>Regime Complementar do Procedimento de Inspeção Tributária e Aduaneira</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i/>
          <w:sz w:val="24"/>
          <w:szCs w:val="24"/>
        </w:rPr>
        <w:t xml:space="preserve">- Ónus da prova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artigo 74.º da Lei Geral Tributária dispõe que o ónus da prova dos factos constitutivos dos direitos da Administração Tributária ou dos contribuintes recai sobre quem os invoca e nos casos de determinação da matéria tributável po</w:t>
      </w:r>
      <w:r>
        <w:rPr>
          <w:rFonts w:ascii="Times New Roman" w:hAnsi="Times New Roman" w:cs="Times New Roman"/>
          <w:sz w:val="24"/>
          <w:szCs w:val="24"/>
        </w:rPr>
        <w:t>r métodos indiretos</w:t>
      </w:r>
      <w:r w:rsidRPr="00E654E0">
        <w:rPr>
          <w:rFonts w:ascii="Times New Roman" w:hAnsi="Times New Roman" w:cs="Times New Roman"/>
          <w:sz w:val="24"/>
          <w:szCs w:val="24"/>
        </w:rPr>
        <w:t xml:space="preserve"> compete à Administração Tributária o ónus da prova da verificação dos pressupostos da sua aplicação, cabendo ao sujeito passivo o ónus da prova do excesso da respetiva quantificação. </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 xml:space="preserve">FREITAS DA ROCHA considera que as regras do ónus da prova só serão aplicadas quando o princípio do inquisitório não se revelar suficiente para o esclarecimento dos factos que relevam para a decisão, ou seja, </w:t>
      </w:r>
      <w:r w:rsidRPr="00E654E0">
        <w:rPr>
          <w:rFonts w:ascii="Times New Roman" w:hAnsi="Times New Roman" w:cs="Times New Roman"/>
          <w:i/>
          <w:sz w:val="24"/>
          <w:szCs w:val="24"/>
        </w:rPr>
        <w:t xml:space="preserve">a Administração, em primeiro lugar, deverá proceder a todas as diligências necessárias à descoberta da verdade material, </w:t>
      </w:r>
      <w:r w:rsidRPr="00E654E0">
        <w:rPr>
          <w:rFonts w:ascii="Times New Roman" w:hAnsi="Times New Roman" w:cs="Times New Roman"/>
          <w:sz w:val="24"/>
          <w:szCs w:val="24"/>
        </w:rPr>
        <w:t>recorrendo-se apenas subsidiariamente às regras do ónus da prova</w:t>
      </w:r>
      <w:r w:rsidRPr="00E654E0">
        <w:rPr>
          <w:rStyle w:val="Refdenotaderodap"/>
          <w:rFonts w:ascii="Times New Roman" w:hAnsi="Times New Roman" w:cs="Times New Roman"/>
          <w:i/>
          <w:sz w:val="24"/>
          <w:szCs w:val="24"/>
        </w:rPr>
        <w:footnoteReference w:id="67"/>
      </w:r>
      <w:r w:rsidRPr="00E654E0">
        <w:rPr>
          <w:rFonts w:ascii="Times New Roman" w:hAnsi="Times New Roman" w:cs="Times New Roman"/>
          <w:i/>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r>
      <w:r w:rsidRPr="00E654E0">
        <w:rPr>
          <w:rFonts w:ascii="Times New Roman" w:hAnsi="Times New Roman" w:cs="Times New Roman"/>
          <w:b/>
          <w:sz w:val="24"/>
          <w:szCs w:val="24"/>
        </w:rPr>
        <w:t xml:space="preserve"> </w:t>
      </w:r>
      <w:r w:rsidRPr="00E654E0">
        <w:rPr>
          <w:rFonts w:ascii="Times New Roman" w:hAnsi="Times New Roman" w:cs="Times New Roman"/>
          <w:sz w:val="24"/>
          <w:szCs w:val="24"/>
        </w:rPr>
        <w:t>A regra do artigo 74.º foi transposta do artigo 342.º do Código Civil Português, tendo eles conteúdo idêntico. Tem o ónus da prova dos factos constitutivos quem os invoque no procedimento tributário, recaindo sobre contra quem são invocados a demonstração de factos impeditivos, modificativos e extintivos daquele direito</w:t>
      </w:r>
      <w:r w:rsidRPr="00E654E0">
        <w:rPr>
          <w:rStyle w:val="Refdenotaderodap"/>
          <w:rFonts w:ascii="Times New Roman" w:hAnsi="Times New Roman" w:cs="Times New Roman"/>
          <w:sz w:val="24"/>
          <w:szCs w:val="24"/>
        </w:rPr>
        <w:footnoteReference w:id="68"/>
      </w:r>
      <w:r w:rsidRPr="00E654E0">
        <w:rPr>
          <w:rFonts w:ascii="Times New Roman" w:hAnsi="Times New Roman" w:cs="Times New Roman"/>
          <w:sz w:val="24"/>
          <w:szCs w:val="24"/>
        </w:rPr>
        <w:t>, ou seja, obstáculos ao exercício daquele direito, factos que o modifiquem ou extingam</w:t>
      </w:r>
      <w:r w:rsidRPr="00E654E0">
        <w:rPr>
          <w:rStyle w:val="Refdenotaderodap"/>
          <w:rFonts w:ascii="Times New Roman" w:hAnsi="Times New Roman" w:cs="Times New Roman"/>
          <w:sz w:val="24"/>
          <w:szCs w:val="24"/>
        </w:rPr>
        <w:footnoteReference w:id="69"/>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Do dever de colaboração do sujeito passivo e do cumprimento das suas obrigações acessórias resulta uma presunção de veracidade e de boa-fé das suas declarações</w:t>
      </w:r>
      <w:r w:rsidRPr="00E654E0">
        <w:rPr>
          <w:rStyle w:val="Refdenotaderodap"/>
          <w:rFonts w:ascii="Times New Roman" w:hAnsi="Times New Roman" w:cs="Times New Roman"/>
          <w:sz w:val="24"/>
          <w:szCs w:val="24"/>
        </w:rPr>
        <w:footnoteReference w:id="70"/>
      </w:r>
      <w:r w:rsidRPr="00E654E0">
        <w:rPr>
          <w:rFonts w:ascii="Times New Roman" w:hAnsi="Times New Roman" w:cs="Times New Roman"/>
          <w:sz w:val="24"/>
          <w:szCs w:val="24"/>
        </w:rPr>
        <w:t>. Como resultado do cumprimento do seu dever de colaboração, fica o sujeito passivo desonerado de provar que as declarações apresentadas correspondem à realidade, cabendo à Administração Tributária, querendo liquidar imposto superior ao declarado, afastar a presunção de veracidade, fazendo prova dos fundamentos dessa ilisão</w:t>
      </w:r>
      <w:r w:rsidRPr="00E654E0">
        <w:rPr>
          <w:rStyle w:val="Refdenotaderodap"/>
          <w:rFonts w:ascii="Times New Roman" w:hAnsi="Times New Roman" w:cs="Times New Roman"/>
          <w:sz w:val="24"/>
          <w:szCs w:val="24"/>
        </w:rPr>
        <w:footnoteReference w:id="71"/>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Pelo contrário, o incumprimento ou cumprimento d</w:t>
      </w:r>
      <w:r>
        <w:rPr>
          <w:rFonts w:ascii="Times New Roman" w:hAnsi="Times New Roman" w:cs="Times New Roman"/>
          <w:sz w:val="24"/>
          <w:szCs w:val="24"/>
        </w:rPr>
        <w:t>efeituoso pelo sujeito passivo</w:t>
      </w:r>
      <w:r w:rsidRPr="00E654E0">
        <w:rPr>
          <w:rFonts w:ascii="Times New Roman" w:hAnsi="Times New Roman" w:cs="Times New Roman"/>
          <w:sz w:val="24"/>
          <w:szCs w:val="24"/>
        </w:rPr>
        <w:t xml:space="preserve"> do seu dever de colaboração, terá como consequência o afastamento da referida presunção de veracidade, </w:t>
      </w:r>
      <w:r w:rsidRPr="00E654E0">
        <w:rPr>
          <w:rFonts w:ascii="Times New Roman" w:hAnsi="Times New Roman" w:cs="Times New Roman"/>
          <w:i/>
          <w:sz w:val="24"/>
          <w:szCs w:val="24"/>
        </w:rPr>
        <w:t xml:space="preserve">invertendo-se o ónus da prova – </w:t>
      </w:r>
      <w:r w:rsidRPr="00E654E0">
        <w:rPr>
          <w:rFonts w:ascii="Times New Roman" w:hAnsi="Times New Roman" w:cs="Times New Roman"/>
          <w:sz w:val="24"/>
          <w:szCs w:val="24"/>
        </w:rPr>
        <w:t xml:space="preserve">quarta consequência do incumprimento do dever de colaboração.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O artigo 75.º número 2 da Lei Geral Tributária, enuncia nas suas diversas alíneas os casos em que não se verificará a presunção de veracidade das declarações do contribuinte, por exemplo</w:t>
      </w:r>
      <w:r>
        <w:rPr>
          <w:rFonts w:ascii="Times New Roman" w:hAnsi="Times New Roman" w:cs="Times New Roman"/>
          <w:sz w:val="24"/>
          <w:szCs w:val="24"/>
        </w:rPr>
        <w:t>,</w:t>
      </w:r>
      <w:r w:rsidRPr="00E654E0">
        <w:rPr>
          <w:rFonts w:ascii="Times New Roman" w:hAnsi="Times New Roman" w:cs="Times New Roman"/>
          <w:sz w:val="24"/>
          <w:szCs w:val="24"/>
        </w:rPr>
        <w:t xml:space="preserve"> em caso de omissões, erros, inexatidões ou indícios fundados de que as declarações não refletem ou impedem o conhecimento da matéria tributável real do sujeito passivo. Nestes casos, a admissibilidade do recurso a métodos indiretos para determinação da obrigação fiscal do contribuinte obriga a Administração Tributária a fazer prova da verificação dos pressupostos da sua aplicação, ou seja, tem o ónus da prova da verificação dos pressupostos constitutivos do seu direito à aplicação da avaliação indireta, enquanto a</w:t>
      </w:r>
      <w:r>
        <w:rPr>
          <w:rFonts w:ascii="Times New Roman" w:hAnsi="Times New Roman" w:cs="Times New Roman"/>
          <w:sz w:val="24"/>
          <w:szCs w:val="24"/>
        </w:rPr>
        <w:t>o sujeito passivo</w:t>
      </w:r>
      <w:r w:rsidRPr="00E654E0">
        <w:rPr>
          <w:rFonts w:ascii="Times New Roman" w:hAnsi="Times New Roman" w:cs="Times New Roman"/>
          <w:sz w:val="24"/>
          <w:szCs w:val="24"/>
        </w:rPr>
        <w:t xml:space="preserve"> compete, querendo afastar a aplicação daqueles métodos ou a liquidação adicional que deles resultar, a demonstração de factos que o impeçam, modifiquem ou extingam – artigo 74.º número 3 da Lei Geral Tributária.</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É, assim, consequência do incumprimento do dever de colaboração a que está sujeito o contribuinte, a inversão do ónus da prova, afastando-se a presunção de veracidade das suas declarações.</w:t>
      </w: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sz w:val="24"/>
          <w:szCs w:val="24"/>
        </w:rPr>
        <w:t xml:space="preserve">Nestas situações, por estarmos perante um comportamento culposo do sujeito passivo que impossibilitou a determinação do seu rendimento real e consequentemente a obrigação fiscal de que é devedor, nas palavras de SERENA CABRITA NETO e CARLA CASTELO TRINDADE, </w:t>
      </w:r>
      <w:r w:rsidRPr="00E654E0">
        <w:rPr>
          <w:rFonts w:ascii="Times New Roman" w:hAnsi="Times New Roman" w:cs="Times New Roman"/>
          <w:i/>
          <w:sz w:val="24"/>
          <w:szCs w:val="24"/>
        </w:rPr>
        <w:t>parece-nos equilibrada esta solução do legislador que, por um lado, presume a veracidade dos elementos apresentados pelo contribuinte no artigo 75.º da Lei Geral Tributária quando este cumpre o seu dever de colaboração e, por outro, inverte o ónus da prova no número 3 do artigo 74.º da Lei Geral Tributária, exigindo que este proceda à prova do excesso na quantificação da matéria tributável quando, não cumprindo este dever, obriga a Administração a recorrer à avaliação da matéria tributável por métodos indiretos</w:t>
      </w:r>
      <w:r w:rsidRPr="00E654E0">
        <w:rPr>
          <w:rStyle w:val="Refdenotaderodap"/>
          <w:rFonts w:ascii="Times New Roman" w:hAnsi="Times New Roman" w:cs="Times New Roman"/>
          <w:i/>
          <w:sz w:val="24"/>
          <w:szCs w:val="24"/>
        </w:rPr>
        <w:footnoteReference w:id="72"/>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pStyle w:val="Cabealho1"/>
        <w:spacing w:line="360" w:lineRule="auto"/>
        <w:jc w:val="both"/>
        <w:rPr>
          <w:rFonts w:ascii="Times New Roman" w:hAnsi="Times New Roman" w:cs="Times New Roman"/>
          <w:color w:val="auto"/>
          <w:sz w:val="24"/>
          <w:szCs w:val="24"/>
        </w:rPr>
      </w:pPr>
      <w:bookmarkStart w:id="7" w:name="_Toc483610332"/>
      <w:r w:rsidRPr="00E654E0">
        <w:rPr>
          <w:rFonts w:ascii="Times New Roman" w:hAnsi="Times New Roman" w:cs="Times New Roman"/>
          <w:color w:val="auto"/>
          <w:sz w:val="24"/>
          <w:szCs w:val="24"/>
        </w:rPr>
        <w:t>3. PROCESSO PENAL TRIBUTÁRIO</w:t>
      </w:r>
      <w:bookmarkEnd w:id="7"/>
      <w:r w:rsidRPr="00E654E0">
        <w:rPr>
          <w:rFonts w:ascii="Times New Roman" w:hAnsi="Times New Roman" w:cs="Times New Roman"/>
          <w:color w:val="auto"/>
          <w:sz w:val="24"/>
          <w:szCs w:val="24"/>
        </w:rPr>
        <w:t xml:space="preserve">  </w:t>
      </w:r>
    </w:p>
    <w:p w:rsidR="00036D26" w:rsidRPr="00E654E0" w:rsidRDefault="00036D26" w:rsidP="00036D26">
      <w:pPr>
        <w:spacing w:line="360" w:lineRule="auto"/>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b/>
          <w:sz w:val="24"/>
          <w:szCs w:val="24"/>
        </w:rPr>
        <w:tab/>
      </w:r>
      <w:r w:rsidRPr="00E654E0">
        <w:rPr>
          <w:rFonts w:ascii="Times New Roman" w:hAnsi="Times New Roman" w:cs="Times New Roman"/>
          <w:sz w:val="24"/>
          <w:szCs w:val="24"/>
        </w:rPr>
        <w:t xml:space="preserve">O procedimento que expusemos no ponto anterior não se confunde com o processo </w:t>
      </w:r>
      <w:r>
        <w:rPr>
          <w:rFonts w:ascii="Times New Roman" w:hAnsi="Times New Roman" w:cs="Times New Roman"/>
          <w:sz w:val="24"/>
          <w:szCs w:val="24"/>
        </w:rPr>
        <w:t>de que agora iremos tratar</w:t>
      </w:r>
      <w:r w:rsidRPr="00E654E0">
        <w:rPr>
          <w:rFonts w:ascii="Times New Roman" w:hAnsi="Times New Roman" w:cs="Times New Roman"/>
          <w:sz w:val="24"/>
          <w:szCs w:val="24"/>
        </w:rPr>
        <w:t>, nem mesmo ao nível dos atos - atos de inspeção tributária e atos de inquérito</w:t>
      </w:r>
      <w:r w:rsidRPr="00E654E0">
        <w:rPr>
          <w:rStyle w:val="Refdenotaderodap"/>
          <w:rFonts w:ascii="Times New Roman" w:hAnsi="Times New Roman" w:cs="Times New Roman"/>
          <w:sz w:val="24"/>
          <w:szCs w:val="24"/>
        </w:rPr>
        <w:footnoteReference w:id="73"/>
      </w:r>
      <w:r w:rsidRPr="00E654E0">
        <w:rPr>
          <w:rFonts w:ascii="Times New Roman" w:hAnsi="Times New Roman" w:cs="Times New Roman"/>
          <w:sz w:val="24"/>
          <w:szCs w:val="24"/>
        </w:rPr>
        <w:t>. Não é aquele procedimento uma espécie de “Processo de Averiguações” como o que se encontrava previsto nos artigos 43.º e seguintes do Regime Jurídico das Infrações Fiscais Não Aduaneiras</w:t>
      </w:r>
      <w:r w:rsidRPr="00E654E0">
        <w:rPr>
          <w:rStyle w:val="Refdenotaderodap"/>
          <w:rFonts w:ascii="Times New Roman" w:hAnsi="Times New Roman" w:cs="Times New Roman"/>
          <w:sz w:val="24"/>
          <w:szCs w:val="24"/>
        </w:rPr>
        <w:footnoteReference w:id="74"/>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que tinha por fim as investigações pré-acusatórias, substituía a fase do inquérito do processo penal comum e era suficiente para fundamentar a acusação pelo Ministério Público</w:t>
      </w:r>
      <w:r w:rsidRPr="00E654E0">
        <w:rPr>
          <w:rStyle w:val="Refdenotaderodap"/>
          <w:rFonts w:ascii="Times New Roman" w:hAnsi="Times New Roman" w:cs="Times New Roman"/>
          <w:i/>
          <w:sz w:val="24"/>
          <w:szCs w:val="24"/>
        </w:rPr>
        <w:footnoteReference w:id="75"/>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Enqu</w:t>
      </w:r>
      <w:r>
        <w:rPr>
          <w:rFonts w:ascii="Times New Roman" w:hAnsi="Times New Roman" w:cs="Times New Roman"/>
          <w:sz w:val="24"/>
          <w:szCs w:val="24"/>
        </w:rPr>
        <w:t xml:space="preserve">anto no procedimento tributário para determinação da matéria coletável do sujeito passivo </w:t>
      </w:r>
      <w:r w:rsidRPr="00E654E0">
        <w:rPr>
          <w:rFonts w:ascii="Times New Roman" w:hAnsi="Times New Roman" w:cs="Times New Roman"/>
          <w:sz w:val="24"/>
          <w:szCs w:val="24"/>
        </w:rPr>
        <w:t>o que se pretende é a descoberta da verdade material da</w:t>
      </w:r>
      <w:r>
        <w:rPr>
          <w:rFonts w:ascii="Times New Roman" w:hAnsi="Times New Roman" w:cs="Times New Roman"/>
          <w:sz w:val="24"/>
          <w:szCs w:val="24"/>
        </w:rPr>
        <w:t xml:space="preserve"> sua</w:t>
      </w:r>
      <w:r w:rsidRPr="00E654E0">
        <w:rPr>
          <w:rFonts w:ascii="Times New Roman" w:hAnsi="Times New Roman" w:cs="Times New Roman"/>
          <w:sz w:val="24"/>
          <w:szCs w:val="24"/>
        </w:rPr>
        <w:t xml:space="preserve"> situação financei</w:t>
      </w:r>
      <w:r>
        <w:rPr>
          <w:rFonts w:ascii="Times New Roman" w:hAnsi="Times New Roman" w:cs="Times New Roman"/>
          <w:sz w:val="24"/>
          <w:szCs w:val="24"/>
        </w:rPr>
        <w:t>ra</w:t>
      </w:r>
      <w:r w:rsidRPr="00E654E0">
        <w:rPr>
          <w:rFonts w:ascii="Times New Roman" w:hAnsi="Times New Roman" w:cs="Times New Roman"/>
          <w:sz w:val="24"/>
          <w:szCs w:val="24"/>
        </w:rPr>
        <w:t>,</w:t>
      </w:r>
      <w:r>
        <w:rPr>
          <w:rFonts w:ascii="Times New Roman" w:hAnsi="Times New Roman" w:cs="Times New Roman"/>
          <w:sz w:val="24"/>
          <w:szCs w:val="24"/>
        </w:rPr>
        <w:t xml:space="preserve"> de modo a fixar</w:t>
      </w:r>
      <w:r w:rsidRPr="00E654E0">
        <w:rPr>
          <w:rFonts w:ascii="Times New Roman" w:hAnsi="Times New Roman" w:cs="Times New Roman"/>
          <w:sz w:val="24"/>
          <w:szCs w:val="24"/>
        </w:rPr>
        <w:t xml:space="preserve"> o quant</w:t>
      </w:r>
      <w:r>
        <w:rPr>
          <w:rFonts w:ascii="Times New Roman" w:hAnsi="Times New Roman" w:cs="Times New Roman"/>
          <w:sz w:val="24"/>
          <w:szCs w:val="24"/>
        </w:rPr>
        <w:t>itativo da sua obrigação fiscal,</w:t>
      </w:r>
      <w:r w:rsidRPr="00E654E0">
        <w:rPr>
          <w:rFonts w:ascii="Times New Roman" w:hAnsi="Times New Roman" w:cs="Times New Roman"/>
          <w:sz w:val="24"/>
          <w:szCs w:val="24"/>
        </w:rPr>
        <w:t xml:space="preserve"> no processo penal tributário, o artigo 262.º do Código de Processo Penal dispõe que os atos de inquérito</w:t>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visam investigar a existência de um crime, determinar os seus agentes e a responsabilidade deles e descobrir e recolher as provas, em ordem à decisão sobre a acusação.</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 que prenderá a nossa atenção nesta última parte é a questão da admissibilidade da prova indireta, indiciária ou circunstancial, adquirida ao abrigo de um dever de cooperação, no processo criminal e da própria constitucionalidade da imposição desse dever no procedimento tributário.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Ainda antes de passar para aquele ponto, verificaremos em que situações</w:t>
      </w:r>
      <w:r>
        <w:rPr>
          <w:rFonts w:ascii="Times New Roman" w:hAnsi="Times New Roman" w:cs="Times New Roman"/>
          <w:sz w:val="24"/>
          <w:szCs w:val="24"/>
        </w:rPr>
        <w:t xml:space="preserve"> se</w:t>
      </w:r>
      <w:r w:rsidRPr="00E654E0">
        <w:rPr>
          <w:rFonts w:ascii="Times New Roman" w:hAnsi="Times New Roman" w:cs="Times New Roman"/>
          <w:sz w:val="24"/>
          <w:szCs w:val="24"/>
        </w:rPr>
        <w:t xml:space="preserve"> impõe a comunicação ao Ministério Público do recurso aos métodos indiretos de determinação da matéria tributável. Será sempre que a Administração Tributária determina os rendimentos do sujeito passivo através da avaliação indireta ou apenas nos casos em que se constata a existência de indícios da prática de um crime pelo contribuinte?</w:t>
      </w:r>
    </w:p>
    <w:p w:rsidR="00036D26" w:rsidRPr="00E654E0" w:rsidRDefault="00036D26" w:rsidP="00036D26">
      <w:pPr>
        <w:pStyle w:val="Cabealho1"/>
        <w:spacing w:line="360" w:lineRule="auto"/>
        <w:jc w:val="both"/>
        <w:rPr>
          <w:rFonts w:ascii="Times New Roman" w:hAnsi="Times New Roman" w:cs="Times New Roman"/>
          <w:color w:val="auto"/>
          <w:sz w:val="24"/>
          <w:szCs w:val="24"/>
        </w:rPr>
      </w:pPr>
      <w:r w:rsidRPr="00E654E0">
        <w:rPr>
          <w:rFonts w:ascii="Times New Roman" w:hAnsi="Times New Roman" w:cs="Times New Roman"/>
          <w:sz w:val="24"/>
          <w:szCs w:val="24"/>
        </w:rPr>
        <w:tab/>
      </w:r>
      <w:bookmarkStart w:id="8" w:name="_Toc483610333"/>
      <w:r w:rsidRPr="00E654E0">
        <w:rPr>
          <w:rFonts w:ascii="Times New Roman" w:hAnsi="Times New Roman" w:cs="Times New Roman"/>
          <w:color w:val="auto"/>
          <w:sz w:val="24"/>
          <w:szCs w:val="24"/>
        </w:rPr>
        <w:t>3.1. Comunicação ao Ministério Público – Aquisição de Notícia de um Crime Tributário e Artigo 89.º-A da Lei Geral Tributária</w:t>
      </w:r>
      <w:bookmarkEnd w:id="8"/>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Pode acontecer, no decorrer de um procedimento de inspeção tributária, os agentes da Administração Tributária obterem notícia de um crime tributário. Verificando-se esta situação, o Regime Geral das Infrações Tributárias, na sua Parte II, Capítulo I, artigos 35.º a 50.º, regula a tramitação do processo penal tributário e o artigo 3.º do Regime Geral das Infrações Tributárias, na sua alínea </w:t>
      </w:r>
      <w:r w:rsidRPr="00E654E0">
        <w:rPr>
          <w:rFonts w:ascii="Times New Roman" w:hAnsi="Times New Roman" w:cs="Times New Roman"/>
          <w:i/>
          <w:sz w:val="24"/>
          <w:szCs w:val="24"/>
        </w:rPr>
        <w:t>a),</w:t>
      </w:r>
      <w:r w:rsidRPr="00E654E0">
        <w:rPr>
          <w:rFonts w:ascii="Times New Roman" w:hAnsi="Times New Roman" w:cs="Times New Roman"/>
          <w:sz w:val="24"/>
          <w:szCs w:val="24"/>
        </w:rPr>
        <w:t xml:space="preserve"> prevê a aplicação subsidiária, quanto aos crimes e seu processamento, das disposições do Código Penal, do Código de Processo Penal e respetiva legislação complementar.</w:t>
      </w:r>
    </w:p>
    <w:p w:rsidR="00036D26" w:rsidRPr="00E654E0" w:rsidRDefault="00036D26" w:rsidP="00036D2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 legislador</w:t>
      </w:r>
      <w:r w:rsidRPr="00E654E0">
        <w:rPr>
          <w:rFonts w:ascii="Times New Roman" w:hAnsi="Times New Roman" w:cs="Times New Roman"/>
          <w:sz w:val="24"/>
          <w:szCs w:val="24"/>
        </w:rPr>
        <w:t xml:space="preserve"> não procedeu a uma regulamentação exaustiva, limitando-se a</w:t>
      </w:r>
      <w:r>
        <w:rPr>
          <w:rFonts w:ascii="Times New Roman" w:hAnsi="Times New Roman" w:cs="Times New Roman"/>
          <w:sz w:val="24"/>
          <w:szCs w:val="24"/>
        </w:rPr>
        <w:t xml:space="preserve"> regular as especialidades daquele</w:t>
      </w:r>
      <w:r w:rsidRPr="00E654E0">
        <w:rPr>
          <w:rFonts w:ascii="Times New Roman" w:hAnsi="Times New Roman" w:cs="Times New Roman"/>
          <w:sz w:val="24"/>
          <w:szCs w:val="24"/>
        </w:rPr>
        <w:t xml:space="preserve"> processo relativamente ao processo penal comum</w:t>
      </w:r>
      <w:r w:rsidRPr="00E654E0">
        <w:rPr>
          <w:rStyle w:val="Refdenotaderodap"/>
          <w:rFonts w:ascii="Times New Roman" w:hAnsi="Times New Roman" w:cs="Times New Roman"/>
          <w:sz w:val="24"/>
          <w:szCs w:val="24"/>
        </w:rPr>
        <w:footnoteReference w:id="76"/>
      </w:r>
      <w:r w:rsidRPr="00E654E0">
        <w:rPr>
          <w:rFonts w:ascii="Times New Roman" w:hAnsi="Times New Roman" w:cs="Times New Roman"/>
          <w:sz w:val="24"/>
          <w:szCs w:val="24"/>
        </w:rPr>
        <w:t xml:space="preserve">, assegurando-se, deste modo, </w:t>
      </w:r>
      <w:r w:rsidRPr="00E654E0">
        <w:rPr>
          <w:rFonts w:ascii="Times New Roman" w:hAnsi="Times New Roman" w:cs="Times New Roman"/>
          <w:i/>
          <w:sz w:val="24"/>
          <w:szCs w:val="24"/>
        </w:rPr>
        <w:t>no âmbito do processo penal tributário as mesmas garantias do processo penal comum</w:t>
      </w:r>
      <w:r w:rsidRPr="00E654E0">
        <w:rPr>
          <w:rStyle w:val="Refdenotaderodap"/>
          <w:rFonts w:ascii="Times New Roman" w:hAnsi="Times New Roman" w:cs="Times New Roman"/>
          <w:i/>
          <w:sz w:val="24"/>
          <w:szCs w:val="24"/>
        </w:rPr>
        <w:footnoteReference w:id="77"/>
      </w:r>
      <w:r w:rsidRPr="00E654E0">
        <w:rPr>
          <w:rFonts w:ascii="Times New Roman" w:hAnsi="Times New Roman" w:cs="Times New Roman"/>
          <w:i/>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Adquirida a notícia de um crime tributário pelos órgãos de polícia criminal ou agentes tributários ou, ainda, por qualquer autoridade judiciária que no decurso de um processo por crime não tributário tome conhecimento de indícios de crime tributário, dispõe o artigo 35.º número 2 do Regime Geral das Infrações Tributárias a sua transmissão ao órgão da Administração Tributária com competência delegada para o inquérito e a sua comunicação imediata ao Ministério Público, artigo 40.º número 3</w:t>
      </w:r>
      <w:r w:rsidRPr="00E654E0">
        <w:rPr>
          <w:rStyle w:val="Refdenotaderodap"/>
          <w:rFonts w:ascii="Times New Roman" w:hAnsi="Times New Roman" w:cs="Times New Roman"/>
          <w:sz w:val="24"/>
          <w:szCs w:val="24"/>
        </w:rPr>
        <w:footnoteReference w:id="78"/>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Outras situações existem – </w:t>
      </w:r>
      <w:r w:rsidRPr="00E654E0">
        <w:rPr>
          <w:rFonts w:ascii="Times New Roman" w:hAnsi="Times New Roman" w:cs="Times New Roman"/>
          <w:i/>
          <w:sz w:val="24"/>
          <w:szCs w:val="24"/>
        </w:rPr>
        <w:t>manifestações de fortuna e outros acréscimos patrimoniais não justificados -</w:t>
      </w:r>
      <w:r w:rsidRPr="00E654E0">
        <w:rPr>
          <w:rFonts w:ascii="Times New Roman" w:hAnsi="Times New Roman" w:cs="Times New Roman"/>
          <w:sz w:val="24"/>
          <w:szCs w:val="24"/>
        </w:rPr>
        <w:t xml:space="preserve"> em que o ato de liquidação, resultado de uma determinação indireta dos rendimentos, ainda que não evidenciando a prática de um crime, é sempre comunicado ao Ministério Público – artigo 89.º-A número 10 da Lei Geral Tributária.  </w:t>
      </w:r>
    </w:p>
    <w:p w:rsidR="00036D26" w:rsidRPr="00E654E0" w:rsidRDefault="00036D26" w:rsidP="00036D2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O recurso à</w:t>
      </w:r>
      <w:r w:rsidRPr="00E654E0">
        <w:rPr>
          <w:rFonts w:ascii="Times New Roman" w:hAnsi="Times New Roman" w:cs="Times New Roman"/>
          <w:sz w:val="24"/>
          <w:szCs w:val="24"/>
        </w:rPr>
        <w:t xml:space="preserve"> avaliação indireta nos termos do artigo 89.º-A, concretizando a alínea </w:t>
      </w:r>
      <w:r w:rsidRPr="00E654E0">
        <w:rPr>
          <w:rFonts w:ascii="Times New Roman" w:hAnsi="Times New Roman" w:cs="Times New Roman"/>
          <w:i/>
          <w:sz w:val="24"/>
          <w:szCs w:val="24"/>
        </w:rPr>
        <w:t>d)</w:t>
      </w:r>
      <w:r w:rsidRPr="00E654E0">
        <w:rPr>
          <w:rFonts w:ascii="Times New Roman" w:hAnsi="Times New Roman" w:cs="Times New Roman"/>
          <w:sz w:val="24"/>
          <w:szCs w:val="24"/>
        </w:rPr>
        <w:t xml:space="preserve"> do artigo 87.º, poderá ocorrer nos casos em que falte a declaração de rendimentos e o contribuinte evidencie as manifestações de fortuna constantes da tabela prevista no número 4 ou, ainda, nos casos em que o rendimento líquido declarado mostra uma desproporção superior a 50%, para menos, em relação ao rendimento padrão resultante da referida tabela.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Em ambas as hipóteses e por motivos imputáveis ao próprio contribuinte, deixa de valer a presunção de veracidade das suas declarações, inverte-se o ónus da prova, passando a recair sobre ele </w:t>
      </w:r>
      <w:r w:rsidRPr="00E654E0">
        <w:rPr>
          <w:rFonts w:ascii="Times New Roman" w:hAnsi="Times New Roman" w:cs="Times New Roman"/>
          <w:i/>
          <w:sz w:val="24"/>
          <w:szCs w:val="24"/>
        </w:rPr>
        <w:t>o ónus de provar que os rendimentos declarados correspondem à realidade e que é outra a fonte das manifestações de fortuna evidenciadas</w:t>
      </w:r>
      <w:r w:rsidRPr="00E654E0">
        <w:rPr>
          <w:rFonts w:ascii="Times New Roman" w:hAnsi="Times New Roman" w:cs="Times New Roman"/>
          <w:sz w:val="24"/>
          <w:szCs w:val="24"/>
        </w:rPr>
        <w:t>, não sujeitas a tributação</w:t>
      </w:r>
      <w:r w:rsidRPr="00E654E0">
        <w:rPr>
          <w:rStyle w:val="Refdenotaderodap"/>
          <w:rFonts w:ascii="Times New Roman" w:hAnsi="Times New Roman" w:cs="Times New Roman"/>
          <w:sz w:val="24"/>
          <w:szCs w:val="24"/>
        </w:rPr>
        <w:footnoteReference w:id="79"/>
      </w:r>
      <w:r w:rsidRPr="00E654E0">
        <w:rPr>
          <w:rFonts w:ascii="Times New Roman" w:hAnsi="Times New Roman" w:cs="Times New Roman"/>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Só se torna definitivo o recurso ao método presuntivo, impondo-se a comunicação do ato final ao Ministério Público, quando o contribuinte </w:t>
      </w:r>
      <w:r w:rsidRPr="00E654E0">
        <w:rPr>
          <w:rFonts w:ascii="Times New Roman" w:hAnsi="Times New Roman" w:cs="Times New Roman"/>
          <w:i/>
          <w:sz w:val="24"/>
          <w:szCs w:val="24"/>
        </w:rPr>
        <w:t>não conseguir</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contrariar os indícios de que dispõe de rendimentos tributáveis não declarados</w:t>
      </w:r>
      <w:r w:rsidRPr="00E654E0">
        <w:rPr>
          <w:rStyle w:val="Refdenotaderodap"/>
          <w:rFonts w:ascii="Times New Roman" w:hAnsi="Times New Roman" w:cs="Times New Roman"/>
          <w:sz w:val="24"/>
          <w:szCs w:val="24"/>
        </w:rPr>
        <w:footnoteReference w:id="80"/>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As manifestações de fortuna e outros acréscimos patrimoniais não justificados, por envolverem uma desproporção elevada entre aquilo que o contribuinte declara e aqueles que são os rendimentos padrão previstos na tabela do número 4, criam na Administração Tributária um sentimento de suspeita ou desconfiança da prática de uma infração fiscal pelo contribuinte.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Como forma de ultrapassar a incerteza sobre os factos e ainda antes de haver uma comunicação ao Ministério Público de suspeita da prática de uma infração tributária, o artigo 89.º-A número 3 garante ao sujeito passivo a faculdade de comprovação de que correspondem à realidade os rendimentos declarados e de que a fonte das manifestações de fortuna ou do acréscimo de património ou da despesa efetuada não está sujeita a tributação. Não havendo este esclarecimento e consequentemente não conseguindo o contribuinte fazer prova da regularidade da sua </w:t>
      </w:r>
      <w:r>
        <w:rPr>
          <w:rFonts w:ascii="Times New Roman" w:hAnsi="Times New Roman" w:cs="Times New Roman"/>
          <w:sz w:val="24"/>
          <w:szCs w:val="24"/>
        </w:rPr>
        <w:t>situação</w:t>
      </w:r>
      <w:r w:rsidRPr="00E654E0">
        <w:rPr>
          <w:rFonts w:ascii="Times New Roman" w:hAnsi="Times New Roman" w:cs="Times New Roman"/>
          <w:sz w:val="24"/>
          <w:szCs w:val="24"/>
        </w:rPr>
        <w:t xml:space="preserve"> fiscal, procede-se à determinação do seu rendimento nos termos do número 4 do artigo 89.º-A.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Nestas casos</w:t>
      </w:r>
      <w:r>
        <w:rPr>
          <w:rFonts w:ascii="Times New Roman" w:hAnsi="Times New Roman" w:cs="Times New Roman"/>
          <w:sz w:val="24"/>
          <w:szCs w:val="24"/>
        </w:rPr>
        <w:t>,</w:t>
      </w:r>
      <w:r w:rsidRPr="00E654E0">
        <w:rPr>
          <w:rFonts w:ascii="Times New Roman" w:hAnsi="Times New Roman" w:cs="Times New Roman"/>
          <w:sz w:val="24"/>
          <w:szCs w:val="24"/>
        </w:rPr>
        <w:t xml:space="preserve"> permanecendo a dúvida por motivos imputáveis ao próprio sobre a legalidade da forma de obtenção de património, por razões de prevenção de evasão fiscal e justiça tributária, há a comunicação ao Ministério Público do recurso ao método indireto, enquanto titular da ação penal, auxiliado pelos órgãos da Administração Tributária e da Segurança Social</w:t>
      </w:r>
      <w:r w:rsidRPr="00E654E0">
        <w:rPr>
          <w:rStyle w:val="Refdenotaderodap"/>
          <w:rFonts w:ascii="Times New Roman" w:hAnsi="Times New Roman" w:cs="Times New Roman"/>
          <w:sz w:val="24"/>
          <w:szCs w:val="24"/>
        </w:rPr>
        <w:footnoteReference w:id="81"/>
      </w:r>
      <w:r w:rsidRPr="00E654E0">
        <w:rPr>
          <w:rFonts w:ascii="Times New Roman" w:hAnsi="Times New Roman" w:cs="Times New Roman"/>
          <w:sz w:val="24"/>
          <w:szCs w:val="24"/>
        </w:rPr>
        <w:t>, para efeitos de investigação</w:t>
      </w:r>
      <w:r w:rsidRPr="00E654E0">
        <w:rPr>
          <w:rStyle w:val="Refdenotaderodap"/>
          <w:rFonts w:ascii="Times New Roman" w:hAnsi="Times New Roman" w:cs="Times New Roman"/>
          <w:sz w:val="24"/>
          <w:szCs w:val="24"/>
        </w:rPr>
        <w:footnoteReference w:id="82"/>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Acreditamos serem estas duas situações excecionais – indícios da prática de um crime observados no dec</w:t>
      </w:r>
      <w:r>
        <w:rPr>
          <w:rFonts w:ascii="Times New Roman" w:hAnsi="Times New Roman" w:cs="Times New Roman"/>
          <w:sz w:val="24"/>
          <w:szCs w:val="24"/>
        </w:rPr>
        <w:t>orrer de um procedimento</w:t>
      </w:r>
      <w:r w:rsidRPr="00E654E0">
        <w:rPr>
          <w:rFonts w:ascii="Times New Roman" w:hAnsi="Times New Roman" w:cs="Times New Roman"/>
          <w:sz w:val="24"/>
          <w:szCs w:val="24"/>
        </w:rPr>
        <w:t xml:space="preserve"> tributário e manifestações de fortuna e outros acréscimos patrimoniais não justificados. </w:t>
      </w:r>
    </w:p>
    <w:p w:rsidR="00036D26"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Não se pronunciando a lei relativamente à questão da comunicação ao Ministério Público nos restantes casos de determinação da matéria tributável por métodos indiretos, deverá o procedimento seguir os seus termos normais e apenas em caso de aquisição da notícia de um crime por parte dos agentes da Administração Tributária ou qualquer autoridade judiciária que no decurso de um processo por crime não tributário tome conhecimento de indícios de crime tributário, é que deverá haver comunicação ao Ministério Público e aos órgãos da Administração Tributária com competência delegada para o inquérito. </w:t>
      </w:r>
      <w:bookmarkStart w:id="9" w:name="_Toc483610334"/>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spacing w:line="360" w:lineRule="auto"/>
        <w:ind w:firstLine="708"/>
        <w:jc w:val="both"/>
        <w:rPr>
          <w:rFonts w:ascii="Times New Roman" w:hAnsi="Times New Roman" w:cs="Times New Roman"/>
          <w:sz w:val="24"/>
          <w:szCs w:val="24"/>
        </w:rPr>
      </w:pPr>
    </w:p>
    <w:p w:rsidR="00036D26" w:rsidRDefault="00036D26" w:rsidP="00036D26">
      <w:pPr>
        <w:pStyle w:val="Cabealho1"/>
        <w:spacing w:line="360" w:lineRule="auto"/>
        <w:jc w:val="both"/>
        <w:rPr>
          <w:rFonts w:ascii="Times New Roman" w:hAnsi="Times New Roman" w:cs="Times New Roman"/>
          <w:color w:val="auto"/>
          <w:sz w:val="24"/>
          <w:szCs w:val="24"/>
        </w:rPr>
      </w:pPr>
    </w:p>
    <w:p w:rsidR="00036D26" w:rsidRPr="00F752F9" w:rsidRDefault="00036D26" w:rsidP="00036D26"/>
    <w:p w:rsidR="00036D26" w:rsidRPr="00E654E0" w:rsidRDefault="00036D26" w:rsidP="00036D26">
      <w:pPr>
        <w:pStyle w:val="Cabealho1"/>
        <w:spacing w:line="360" w:lineRule="auto"/>
        <w:jc w:val="both"/>
        <w:rPr>
          <w:rFonts w:ascii="Times New Roman" w:hAnsi="Times New Roman" w:cs="Times New Roman"/>
          <w:i/>
          <w:color w:val="auto"/>
          <w:sz w:val="24"/>
          <w:szCs w:val="24"/>
        </w:rPr>
      </w:pPr>
      <w:r w:rsidRPr="00E654E0">
        <w:rPr>
          <w:rFonts w:ascii="Times New Roman" w:hAnsi="Times New Roman" w:cs="Times New Roman"/>
          <w:color w:val="auto"/>
          <w:sz w:val="24"/>
          <w:szCs w:val="24"/>
        </w:rPr>
        <w:t xml:space="preserve">4. A CONSTITUCIONALIDADE DA IMPOSIÇÃO DE UM DEVER DE COLABORAÇÃO – </w:t>
      </w:r>
      <w:r w:rsidRPr="00E654E0">
        <w:rPr>
          <w:rFonts w:ascii="Times New Roman" w:hAnsi="Times New Roman" w:cs="Times New Roman"/>
          <w:i/>
          <w:color w:val="auto"/>
          <w:sz w:val="24"/>
          <w:szCs w:val="24"/>
        </w:rPr>
        <w:t>LEGALIDADE DA PROVA EM PROCESSO CRIMINAL</w:t>
      </w:r>
      <w:bookmarkEnd w:id="9"/>
    </w:p>
    <w:p w:rsidR="00036D26" w:rsidRPr="00E654E0" w:rsidRDefault="00036D26" w:rsidP="00036D26">
      <w:pPr>
        <w:spacing w:line="360" w:lineRule="auto"/>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Iniciámos o nosso percurso com uma breve exposição do procedimento tributário, mais concretamente do método indireto de determinação do tributo, os direitos e deveres inerentes aos vários sujeitos – Autoridade Tributária e Aduaneira e contribuinte - e o consequente recurso ao procedimento inspetivo como forma de descoberta da verdade material. Num segundo momento e já a meio do nosso itinerário, foi feita referência ao processo penal tributário, mais </w:t>
      </w:r>
      <w:r>
        <w:rPr>
          <w:rFonts w:ascii="Times New Roman" w:hAnsi="Times New Roman" w:cs="Times New Roman"/>
          <w:sz w:val="24"/>
          <w:szCs w:val="24"/>
        </w:rPr>
        <w:t>especificamente</w:t>
      </w:r>
      <w:r w:rsidRPr="00E654E0">
        <w:rPr>
          <w:rFonts w:ascii="Times New Roman" w:hAnsi="Times New Roman" w:cs="Times New Roman"/>
          <w:sz w:val="24"/>
          <w:szCs w:val="24"/>
        </w:rPr>
        <w:t xml:space="preserve"> em que situações há, por imperativo legal, a comunicação ao Ministério Público do recurso a métodos indiretos para determinação dos rendimentos dos contribuintes e consequentemente da sua obrigação fiscal.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Num terceiro e último momento, aquele em que nos encontramos agora, destino do nosso percurso e núcleo essencial deste trabalho, compete-nos perceber que ligação existe ou poderá existir entre o procedimento tributário e o processo penal tributário, mais concretamente, quais as consequências penais da determinação da matéria t</w:t>
      </w:r>
      <w:r>
        <w:rPr>
          <w:rFonts w:ascii="Times New Roman" w:hAnsi="Times New Roman" w:cs="Times New Roman"/>
          <w:sz w:val="24"/>
          <w:szCs w:val="24"/>
        </w:rPr>
        <w:t>ributável por métodos indiretos. O</w:t>
      </w:r>
      <w:r w:rsidRPr="00E654E0">
        <w:rPr>
          <w:rFonts w:ascii="Times New Roman" w:hAnsi="Times New Roman" w:cs="Times New Roman"/>
          <w:sz w:val="24"/>
          <w:szCs w:val="24"/>
        </w:rPr>
        <w:t>u seja, poderá ou não, o método de avaliação indireta, com todas as caraterísticas que enunciamos – método presuntivo e sujeito ao dever de colaboração entre administrados e Administração Tributária -, influenciar uma decisão de acusação por parte do Ministério Público ou condenação por parte do julgador, num processo por crime tributário.</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Constituição da República Portuguesa, de 2 de Abril de 1976, preocupou-se em garantir a dignidade da pessoa humana no seu artigo 1.º e um conjunto de direitos, liberdades e garantias aplicáveis a qualquer processo sancionatório. </w:t>
      </w: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sz w:val="24"/>
          <w:szCs w:val="24"/>
        </w:rPr>
        <w:t xml:space="preserve">Devido à opressão vivida durante o regime ditatorial, o </w:t>
      </w:r>
      <w:r w:rsidRPr="00E654E0">
        <w:rPr>
          <w:rFonts w:ascii="Times New Roman" w:hAnsi="Times New Roman" w:cs="Times New Roman"/>
          <w:i/>
          <w:sz w:val="24"/>
          <w:szCs w:val="24"/>
        </w:rPr>
        <w:t>Moderno Estado de Direito</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trouxe consigo uma nova ordenação constitucional assente nos direitos fundamentais, maxime a intangível dignidade da pessoa humana e a liberdade fundamental de ação</w:t>
      </w:r>
      <w:r w:rsidRPr="00E654E0">
        <w:rPr>
          <w:rStyle w:val="Refdenotaderodap"/>
          <w:rFonts w:ascii="Times New Roman" w:hAnsi="Times New Roman" w:cs="Times New Roman"/>
          <w:i/>
          <w:sz w:val="24"/>
          <w:szCs w:val="24"/>
        </w:rPr>
        <w:footnoteReference w:id="83"/>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Espelho dessa liberdade de ação é a liberdade de declaração do arguido, traduzida no seu direito a ser ouvido pelo tribunal em qualquer momento da audiência ou o direito a remeter-se ao silêncio, sem que este o possa desfavorecer</w:t>
      </w:r>
      <w:r w:rsidRPr="00E654E0">
        <w:rPr>
          <w:rStyle w:val="Refdenotaderodap"/>
          <w:rFonts w:ascii="Times New Roman" w:hAnsi="Times New Roman" w:cs="Times New Roman"/>
          <w:sz w:val="24"/>
          <w:szCs w:val="24"/>
        </w:rPr>
        <w:footnoteReference w:id="84"/>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COSTA ANDRADE atribui uma </w:t>
      </w:r>
      <w:r w:rsidRPr="00E654E0">
        <w:rPr>
          <w:rFonts w:ascii="Times New Roman" w:hAnsi="Times New Roman" w:cs="Times New Roman"/>
          <w:i/>
          <w:sz w:val="24"/>
          <w:szCs w:val="24"/>
        </w:rPr>
        <w:t xml:space="preserve">dupla dimensão ou função </w:t>
      </w:r>
      <w:r w:rsidRPr="00E654E0">
        <w:rPr>
          <w:rFonts w:ascii="Times New Roman" w:hAnsi="Times New Roman" w:cs="Times New Roman"/>
          <w:sz w:val="24"/>
          <w:szCs w:val="24"/>
        </w:rPr>
        <w:t>àquela liberdade de declaração</w:t>
      </w:r>
      <w:r w:rsidRPr="00E654E0">
        <w:rPr>
          <w:rStyle w:val="Refdenotaderodap"/>
          <w:rFonts w:ascii="Times New Roman" w:hAnsi="Times New Roman" w:cs="Times New Roman"/>
          <w:sz w:val="24"/>
          <w:szCs w:val="24"/>
        </w:rPr>
        <w:footnoteReference w:id="85"/>
      </w:r>
      <w:r w:rsidRPr="00E654E0">
        <w:rPr>
          <w:rFonts w:ascii="Times New Roman" w:hAnsi="Times New Roman" w:cs="Times New Roman"/>
          <w:sz w:val="24"/>
          <w:szCs w:val="24"/>
        </w:rPr>
        <w:t xml:space="preserve">. Pela </w:t>
      </w:r>
      <w:r w:rsidRPr="00E654E0">
        <w:rPr>
          <w:rFonts w:ascii="Times New Roman" w:hAnsi="Times New Roman" w:cs="Times New Roman"/>
          <w:i/>
          <w:sz w:val="24"/>
          <w:szCs w:val="24"/>
        </w:rPr>
        <w:t>positiva</w:t>
      </w:r>
      <w:r w:rsidRPr="00E654E0">
        <w:rPr>
          <w:rFonts w:ascii="Times New Roman" w:hAnsi="Times New Roman" w:cs="Times New Roman"/>
          <w:sz w:val="24"/>
          <w:szCs w:val="24"/>
        </w:rPr>
        <w:t>, garante ao arguido o direito a uma plena intervenção no processo, oferendo provas e requerendo todas as diligências que se afigurem necessárias à sua defesa</w:t>
      </w:r>
      <w:r w:rsidRPr="00E654E0">
        <w:rPr>
          <w:rStyle w:val="Refdenotaderodap"/>
          <w:rFonts w:ascii="Times New Roman" w:hAnsi="Times New Roman" w:cs="Times New Roman"/>
          <w:sz w:val="24"/>
          <w:szCs w:val="24"/>
        </w:rPr>
        <w:footnoteReference w:id="86"/>
      </w:r>
      <w:r w:rsidRPr="00E654E0">
        <w:rPr>
          <w:rFonts w:ascii="Times New Roman" w:hAnsi="Times New Roman" w:cs="Times New Roman"/>
          <w:sz w:val="24"/>
          <w:szCs w:val="24"/>
        </w:rPr>
        <w:t xml:space="preserve">, e, ainda, um direito de declaração, </w:t>
      </w:r>
      <w:r w:rsidRPr="00E654E0">
        <w:rPr>
          <w:rFonts w:ascii="Times New Roman" w:hAnsi="Times New Roman" w:cs="Times New Roman"/>
          <w:i/>
          <w:sz w:val="24"/>
          <w:szCs w:val="24"/>
        </w:rPr>
        <w:t>pronunciando-se contra os factos que lhe são imputados, em ordem a infirmar as suspeitas ou acusações que lhe são dirigidas</w:t>
      </w:r>
      <w:r w:rsidRPr="00E654E0">
        <w:rPr>
          <w:rFonts w:ascii="Times New Roman" w:hAnsi="Times New Roman" w:cs="Times New Roman"/>
          <w:sz w:val="24"/>
          <w:szCs w:val="24"/>
        </w:rPr>
        <w:t xml:space="preserve">; pela </w:t>
      </w:r>
      <w:r w:rsidRPr="00E654E0">
        <w:rPr>
          <w:rFonts w:ascii="Times New Roman" w:hAnsi="Times New Roman" w:cs="Times New Roman"/>
          <w:i/>
          <w:sz w:val="24"/>
          <w:szCs w:val="24"/>
        </w:rPr>
        <w:t>negativa</w:t>
      </w:r>
      <w:r w:rsidRPr="00E654E0">
        <w:rPr>
          <w:rFonts w:ascii="Times New Roman" w:hAnsi="Times New Roman" w:cs="Times New Roman"/>
          <w:sz w:val="24"/>
          <w:szCs w:val="24"/>
        </w:rPr>
        <w:t>,</w:t>
      </w:r>
      <w:r>
        <w:rPr>
          <w:rFonts w:ascii="Times New Roman" w:hAnsi="Times New Roman" w:cs="Times New Roman"/>
          <w:sz w:val="24"/>
          <w:szCs w:val="24"/>
        </w:rPr>
        <w:t xml:space="preserve"> a liberdade de declaração</w:t>
      </w:r>
      <w:r w:rsidRPr="00E654E0">
        <w:rPr>
          <w:rFonts w:ascii="Times New Roman" w:hAnsi="Times New Roman" w:cs="Times New Roman"/>
          <w:sz w:val="24"/>
          <w:szCs w:val="24"/>
        </w:rPr>
        <w:t xml:space="preserve"> garante ao arguido um verdadeiro mecanismo de defesa, o seu silêncio, como forma de evitar uma atuação abusiva do Estado, quando por meios enganosos ou coativos tenta obter declarações autoincriminatórias</w:t>
      </w:r>
      <w:r w:rsidRPr="00E654E0">
        <w:rPr>
          <w:rStyle w:val="Refdenotaderodap"/>
          <w:rFonts w:ascii="Times New Roman" w:hAnsi="Times New Roman" w:cs="Times New Roman"/>
          <w:sz w:val="24"/>
          <w:szCs w:val="24"/>
        </w:rPr>
        <w:footnoteReference w:id="87"/>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Não existe no processo penal tributário, ao contrário do procedimento tributário, um dever de colaboração do arguido, pode ele </w:t>
      </w:r>
      <w:r w:rsidRPr="00E654E0">
        <w:rPr>
          <w:rFonts w:ascii="Times New Roman" w:hAnsi="Times New Roman" w:cs="Times New Roman"/>
          <w:i/>
          <w:sz w:val="24"/>
          <w:szCs w:val="24"/>
        </w:rPr>
        <w:t>comportar-se como mero espectador que observa como terceiros lidam com o seu caso, não sendo responsável por essa atitude passiva (não tem o dever de colaborar) nem podendo ser ele penalizado (não tem o ónus de colaborar)</w:t>
      </w:r>
      <w:r w:rsidRPr="00E654E0">
        <w:rPr>
          <w:rStyle w:val="Refdenotaderodap"/>
          <w:rFonts w:ascii="Times New Roman" w:hAnsi="Times New Roman" w:cs="Times New Roman"/>
          <w:i/>
          <w:sz w:val="24"/>
          <w:szCs w:val="24"/>
        </w:rPr>
        <w:footnoteReference w:id="88"/>
      </w:r>
      <w:r w:rsidRPr="00E654E0">
        <w:rPr>
          <w:rFonts w:ascii="Times New Roman" w:hAnsi="Times New Roman" w:cs="Times New Roman"/>
          <w:sz w:val="24"/>
          <w:szCs w:val="24"/>
        </w:rPr>
        <w:t>. Esta opção decorre da inexistência de um ónus de prova em sentido formal que recaia sobre o arguido, não tem ele o encargo de provar a sua inocência, ela presume-se independentemente da sua contribuição ou não para o esclarecimento dos factos</w:t>
      </w:r>
      <w:r w:rsidRPr="00E654E0">
        <w:rPr>
          <w:rStyle w:val="Refdenotaderodap"/>
          <w:rFonts w:ascii="Times New Roman" w:hAnsi="Times New Roman" w:cs="Times New Roman"/>
          <w:i/>
          <w:sz w:val="24"/>
          <w:szCs w:val="24"/>
        </w:rPr>
        <w:footnoteReference w:id="89"/>
      </w:r>
      <w:r w:rsidRPr="00E654E0">
        <w:rPr>
          <w:rFonts w:ascii="Times New Roman" w:hAnsi="Times New Roman" w:cs="Times New Roman"/>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Como refere GERMANO MARQUES DA SILVA, </w:t>
      </w:r>
      <w:r w:rsidRPr="00E654E0">
        <w:rPr>
          <w:rFonts w:ascii="Times New Roman" w:hAnsi="Times New Roman" w:cs="Times New Roman"/>
          <w:i/>
          <w:sz w:val="24"/>
          <w:szCs w:val="24"/>
        </w:rPr>
        <w:t>o direito ao silêncio é uma natural consequência do princípio da presunção da inocência, se o arguido se presume inocente, presume-se legalmente que pode nada saber sobre tais factos, exigir-lhe que se pronunciasse sobre eles, seria um convite à mentira</w:t>
      </w:r>
      <w:r w:rsidRPr="00E654E0">
        <w:rPr>
          <w:rStyle w:val="Refdenotaderodap"/>
          <w:rFonts w:ascii="Times New Roman" w:hAnsi="Times New Roman" w:cs="Times New Roman"/>
          <w:i/>
          <w:sz w:val="24"/>
          <w:szCs w:val="24"/>
        </w:rPr>
        <w:footnoteReference w:id="90"/>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É precisamente devido a esta caraterística basilar do nosso processo criminal que dúvidas se levantam quanto à possibilidade de utilização, num processo por crime fiscal, de documentos cedidos pelo arguido, enquanto parte de um procedimento inspetivo e sujeito ao dever de colaboração, sob pena de responsabilidade contraordenacional e criminal</w:t>
      </w:r>
      <w:r w:rsidRPr="00E654E0">
        <w:rPr>
          <w:rStyle w:val="Refdenotaderodap"/>
          <w:rFonts w:ascii="Times New Roman" w:hAnsi="Times New Roman" w:cs="Times New Roman"/>
          <w:sz w:val="24"/>
          <w:szCs w:val="24"/>
        </w:rPr>
        <w:footnoteReference w:id="91"/>
      </w:r>
      <w:r w:rsidRPr="00E654E0">
        <w:rPr>
          <w:rFonts w:ascii="Times New Roman" w:hAnsi="Times New Roman" w:cs="Times New Roman"/>
          <w:sz w:val="24"/>
          <w:szCs w:val="24"/>
        </w:rPr>
        <w:t xml:space="preserve">, para fundamentar uma acusação em fase de inquérito ou uma condenação enquanto decisão final do processo.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Vimos que, por motivos imputáveis ao próprio sujeito passivo, a Administração Tributária, por diversas vezes, fica forçada a recorrer a métodos presuntivos de determinação da matéria tributável como forma de descoberta da verdade material e prossecução do interesse público. No decorrer do procedimento, para esclarecimento da situação financeira do contribuinte e determinação justa e igualitária do tributo, os agentes da Administração Tributária podem exigir a colaboração do inspecionado</w:t>
      </w:r>
      <w:r w:rsidRPr="00E654E0">
        <w:rPr>
          <w:rStyle w:val="Refdenotaderodap"/>
          <w:rFonts w:ascii="Times New Roman" w:hAnsi="Times New Roman" w:cs="Times New Roman"/>
          <w:sz w:val="24"/>
          <w:szCs w:val="24"/>
        </w:rPr>
        <w:footnoteReference w:id="92"/>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Não raras vezes, a colaboração do sujeito passivo em sede de procedimento inspetivo, através do cumprimento das suas obrigações acessórias previstas na lei – </w:t>
      </w:r>
      <w:r w:rsidRPr="00E654E0">
        <w:rPr>
          <w:rFonts w:ascii="Times New Roman" w:hAnsi="Times New Roman" w:cs="Times New Roman"/>
          <w:i/>
          <w:sz w:val="24"/>
          <w:szCs w:val="24"/>
        </w:rPr>
        <w:t>apresentação de declaração, exibição de documentos fiscalmente relevantes, incluindo a contabilidade ou escrita, e a prestação de informações</w:t>
      </w:r>
      <w:r w:rsidRPr="00E654E0">
        <w:rPr>
          <w:rFonts w:ascii="Times New Roman" w:hAnsi="Times New Roman" w:cs="Times New Roman"/>
          <w:sz w:val="24"/>
          <w:szCs w:val="24"/>
        </w:rPr>
        <w:t xml:space="preserve"> – e a prestação dos esclarecimentos, solicitados pela Administração Tributária, indiciam a prática de um crime fiscal. Os agentes tributários, tomando conhecimento de indícios de crime tributário, dão dele conhecimento ao órgão da Administração Tributária com competência delegada para o inquérito, adquirindo, deste modo, notícia de um crime tributário e dando início à fase de inquérito nos termos do Regime Geral das Infrações Tributárias e do Código de Processo Penal.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É por motivos de interesse público, justiça e igualdade tributária – princípios constitucionalmente previstos</w:t>
      </w:r>
      <w:r w:rsidRPr="00E654E0">
        <w:rPr>
          <w:rStyle w:val="Refdenotaderodap"/>
          <w:rFonts w:ascii="Times New Roman" w:hAnsi="Times New Roman" w:cs="Times New Roman"/>
          <w:sz w:val="24"/>
          <w:szCs w:val="24"/>
        </w:rPr>
        <w:footnoteReference w:id="93"/>
      </w:r>
      <w:r w:rsidRPr="00E654E0">
        <w:rPr>
          <w:rFonts w:ascii="Times New Roman" w:hAnsi="Times New Roman" w:cs="Times New Roman"/>
          <w:sz w:val="24"/>
          <w:szCs w:val="24"/>
        </w:rPr>
        <w:t xml:space="preserve"> - e por facilidade de ocultação e destruição de documentos reveladores da</w:t>
      </w:r>
      <w:r>
        <w:rPr>
          <w:rFonts w:ascii="Times New Roman" w:hAnsi="Times New Roman" w:cs="Times New Roman"/>
          <w:sz w:val="24"/>
          <w:szCs w:val="24"/>
        </w:rPr>
        <w:t xml:space="preserve"> sua</w:t>
      </w:r>
      <w:r w:rsidRPr="00E654E0">
        <w:rPr>
          <w:rFonts w:ascii="Times New Roman" w:hAnsi="Times New Roman" w:cs="Times New Roman"/>
          <w:sz w:val="24"/>
          <w:szCs w:val="24"/>
        </w:rPr>
        <w:t xml:space="preserve"> situação financeira, que se impôs um dever de colaboração do sujeito passivo</w:t>
      </w:r>
      <w:r>
        <w:rPr>
          <w:rFonts w:ascii="Times New Roman" w:hAnsi="Times New Roman" w:cs="Times New Roman"/>
          <w:sz w:val="24"/>
          <w:szCs w:val="24"/>
        </w:rPr>
        <w:t xml:space="preserve"> com a Administração Tributária</w:t>
      </w:r>
      <w:r w:rsidRPr="00E654E0">
        <w:rPr>
          <w:rFonts w:ascii="Times New Roman" w:hAnsi="Times New Roman" w:cs="Times New Roman"/>
          <w:sz w:val="24"/>
          <w:szCs w:val="24"/>
        </w:rPr>
        <w:t xml:space="preserve"> nos casos em que</w:t>
      </w:r>
      <w:r>
        <w:rPr>
          <w:rFonts w:ascii="Times New Roman" w:hAnsi="Times New Roman" w:cs="Times New Roman"/>
          <w:sz w:val="24"/>
          <w:szCs w:val="24"/>
        </w:rPr>
        <w:t xml:space="preserve"> </w:t>
      </w:r>
      <w:r w:rsidRPr="00E654E0">
        <w:rPr>
          <w:rFonts w:ascii="Times New Roman" w:hAnsi="Times New Roman" w:cs="Times New Roman"/>
          <w:sz w:val="24"/>
          <w:szCs w:val="24"/>
        </w:rPr>
        <w:t>as suas declarações contenham omissões, erros, inexatidões ou indícios fundados de que não refletem ou impeçam o conhecimento da sua matéria tributável real</w:t>
      </w:r>
      <w:r w:rsidRPr="00E654E0">
        <w:rPr>
          <w:rStyle w:val="Refdenotaderodap"/>
          <w:rFonts w:ascii="Times New Roman" w:hAnsi="Times New Roman" w:cs="Times New Roman"/>
          <w:sz w:val="24"/>
          <w:szCs w:val="24"/>
        </w:rPr>
        <w:footnoteReference w:id="94"/>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sz w:val="24"/>
          <w:szCs w:val="24"/>
        </w:rPr>
        <w:t>O procedimento tributário, mais concretamente o procedimento inspetivo, enquanto procedimento de determinação da matéria tributável, não é um mecanismo à margem da lei, desrespeitador dos direitos, liberdades e garantias do</w:t>
      </w:r>
      <w:r>
        <w:rPr>
          <w:rFonts w:ascii="Times New Roman" w:hAnsi="Times New Roman" w:cs="Times New Roman"/>
          <w:sz w:val="24"/>
          <w:szCs w:val="24"/>
        </w:rPr>
        <w:t>s</w:t>
      </w:r>
      <w:r w:rsidRPr="00E654E0">
        <w:rPr>
          <w:rFonts w:ascii="Times New Roman" w:hAnsi="Times New Roman" w:cs="Times New Roman"/>
          <w:sz w:val="24"/>
          <w:szCs w:val="24"/>
        </w:rPr>
        <w:t xml:space="preserve"> cidadãos, em especial do contribuinte. Os </w:t>
      </w:r>
      <w:r w:rsidRPr="00E654E0">
        <w:rPr>
          <w:rFonts w:ascii="Times New Roman" w:hAnsi="Times New Roman" w:cs="Times New Roman"/>
          <w:i/>
          <w:sz w:val="24"/>
          <w:szCs w:val="24"/>
        </w:rPr>
        <w:t>amplos poderes atribuídos à Administração Tributária, além de subordinados à satisfação do interesse público e à descoberta da verdade material, são exercidos “de acordo com os princípios da legalidade, da igualdade, da proporcionalidade, da justiça, da imparcialidade e da celeridade, no respeito pelas garantias dos contribuintes e demais obrigados tributários (artigo 55.º da Lei Geral Tributária)”</w:t>
      </w:r>
      <w:r w:rsidRPr="00E654E0">
        <w:rPr>
          <w:rStyle w:val="Refdenotaderodap"/>
          <w:rFonts w:ascii="Times New Roman" w:hAnsi="Times New Roman" w:cs="Times New Roman"/>
          <w:i/>
          <w:sz w:val="24"/>
          <w:szCs w:val="24"/>
        </w:rPr>
        <w:footnoteReference w:id="95"/>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Não é aquele procedimento uma espécie de fase pré-investigatória do processo penal tributário. A sua finalidade é a descoberta da verdadeira situação fiscal do contribuinte de modo à correta determinação da sua matéria tributável e fixação do imposto. A existência de um risco de recolha de elementos que indiciem a prática de um crime, não é suscetível de controlo por parte dos agentes da Administração Tributária, esse é um risco que o contribuinte escolhe correr ao inicialmente fornecer uma declaração enganosa e pouco fidedigna dos seus rendimentos</w:t>
      </w:r>
      <w:r w:rsidRPr="00E654E0">
        <w:rPr>
          <w:rStyle w:val="Refdenotaderodap"/>
          <w:rFonts w:ascii="Times New Roman" w:hAnsi="Times New Roman" w:cs="Times New Roman"/>
          <w:sz w:val="24"/>
          <w:szCs w:val="24"/>
        </w:rPr>
        <w:footnoteReference w:id="96"/>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principal questão que se coloca é se não é inconstitucional, por violação do princípio da presunção de inocência, do direito ao silêncio e à não autoincriminação, a imposição ao contribuinte do cumprimento de um conjunto de obrigações acessórias, quando estas possam indiciar a prática de um crime e ainda a sua utilização em processo criminal, instaurado pelo órgão da Administração Tributária competente.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liberdade de ação e declaração, na sua vertente negativa, enquanto manifestação do princípio do </w:t>
      </w:r>
      <w:r w:rsidRPr="00E654E0">
        <w:rPr>
          <w:rFonts w:ascii="Times New Roman" w:hAnsi="Times New Roman" w:cs="Times New Roman"/>
          <w:i/>
          <w:sz w:val="24"/>
          <w:szCs w:val="24"/>
        </w:rPr>
        <w:t>nemo tenetur se ipsum accusare</w:t>
      </w:r>
      <w:r w:rsidRPr="00E654E0">
        <w:rPr>
          <w:rStyle w:val="Refdenotaderodap"/>
          <w:rFonts w:ascii="Times New Roman" w:hAnsi="Times New Roman" w:cs="Times New Roman"/>
          <w:i/>
          <w:sz w:val="24"/>
          <w:szCs w:val="24"/>
        </w:rPr>
        <w:footnoteReference w:id="97"/>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ainda que constitucionalmente previsto, não é este um princípio absoluto</w:t>
      </w:r>
      <w:r w:rsidRPr="00E654E0">
        <w:rPr>
          <w:rStyle w:val="Refdenotaderodap"/>
          <w:rFonts w:ascii="Times New Roman" w:hAnsi="Times New Roman" w:cs="Times New Roman"/>
          <w:sz w:val="24"/>
          <w:szCs w:val="24"/>
        </w:rPr>
        <w:footnoteReference w:id="98"/>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Encontrando-se o direito à não autoincriminação, confrontado com outros princípios, direitos ou interesses fundamentais, não se procederá simplesmente ao aniquilamento de um em favor do outro, através de um </w:t>
      </w:r>
      <w:r w:rsidRPr="00E654E0">
        <w:rPr>
          <w:rFonts w:ascii="Times New Roman" w:hAnsi="Times New Roman" w:cs="Times New Roman"/>
          <w:i/>
          <w:sz w:val="24"/>
          <w:szCs w:val="24"/>
        </w:rPr>
        <w:t>critério</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 xml:space="preserve">all or nothing, </w:t>
      </w:r>
      <w:r w:rsidRPr="00E654E0">
        <w:rPr>
          <w:rFonts w:ascii="Times New Roman" w:hAnsi="Times New Roman" w:cs="Times New Roman"/>
          <w:sz w:val="24"/>
          <w:szCs w:val="24"/>
        </w:rPr>
        <w:t>procede-se antes a</w:t>
      </w:r>
      <w:r w:rsidRPr="00E654E0">
        <w:rPr>
          <w:rFonts w:ascii="Times New Roman" w:hAnsi="Times New Roman" w:cs="Times New Roman"/>
          <w:i/>
          <w:sz w:val="24"/>
          <w:szCs w:val="24"/>
        </w:rPr>
        <w:t xml:space="preserve"> uma compatibilização ou concordância prática que visa aplicar todos os princípios colidentes, harmonizando-os entre si na situação concreta</w:t>
      </w:r>
      <w:r w:rsidRPr="00E654E0">
        <w:rPr>
          <w:rStyle w:val="Refdenotaderodap"/>
          <w:rFonts w:ascii="Times New Roman" w:hAnsi="Times New Roman" w:cs="Times New Roman"/>
          <w:i/>
          <w:sz w:val="24"/>
          <w:szCs w:val="24"/>
        </w:rPr>
        <w:footnoteReference w:id="99"/>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 Tribunal Constitucional</w:t>
      </w:r>
      <w:r>
        <w:rPr>
          <w:rFonts w:ascii="Times New Roman" w:hAnsi="Times New Roman" w:cs="Times New Roman"/>
          <w:sz w:val="24"/>
          <w:szCs w:val="24"/>
        </w:rPr>
        <w:t>,</w:t>
      </w:r>
      <w:r w:rsidRPr="00E654E0">
        <w:rPr>
          <w:rFonts w:ascii="Times New Roman" w:hAnsi="Times New Roman" w:cs="Times New Roman"/>
          <w:sz w:val="24"/>
          <w:szCs w:val="24"/>
        </w:rPr>
        <w:t xml:space="preserve"> por acórdão de 17 de junho, n.º 340/2013, pronunciou-se relativamente à não inconstitucionalidade da compressão do direito à não autoincriminação</w:t>
      </w:r>
      <w:r>
        <w:rPr>
          <w:rFonts w:ascii="Times New Roman" w:hAnsi="Times New Roman" w:cs="Times New Roman"/>
          <w:sz w:val="24"/>
          <w:szCs w:val="24"/>
        </w:rPr>
        <w:t xml:space="preserve"> </w:t>
      </w:r>
      <w:r w:rsidRPr="00E654E0">
        <w:rPr>
          <w:rFonts w:ascii="Times New Roman" w:hAnsi="Times New Roman" w:cs="Times New Roman"/>
          <w:sz w:val="24"/>
          <w:szCs w:val="24"/>
        </w:rPr>
        <w:t xml:space="preserve">para salvaguarda de outros interesses constitucionais.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Para haver uma restrição constitucionalmente válida de um princípio é necessária a verificação de três pressupostos materiais: o primeiro refere-se à necessidade de previsão expressa na Constituição da admissibilidade dessa restrição – </w:t>
      </w:r>
      <w:r w:rsidRPr="00E654E0">
        <w:rPr>
          <w:rFonts w:ascii="Times New Roman" w:hAnsi="Times New Roman" w:cs="Times New Roman"/>
          <w:i/>
          <w:sz w:val="24"/>
          <w:szCs w:val="24"/>
        </w:rPr>
        <w:t>princípio da legalidade -</w:t>
      </w:r>
      <w:r w:rsidRPr="00E654E0">
        <w:rPr>
          <w:rFonts w:ascii="Times New Roman" w:hAnsi="Times New Roman" w:cs="Times New Roman"/>
          <w:sz w:val="24"/>
          <w:szCs w:val="24"/>
        </w:rPr>
        <w:t xml:space="preserve">, o segundo pressuposto impõe, para uma restrição legítima, a salvaguarda de outros direitos ou interesses constitucionalmente protegidos e, por último, que aquela restrição se limite ao necessário - </w:t>
      </w:r>
      <w:r w:rsidRPr="00E654E0">
        <w:rPr>
          <w:rFonts w:ascii="Times New Roman" w:hAnsi="Times New Roman" w:cs="Times New Roman"/>
          <w:i/>
          <w:sz w:val="24"/>
          <w:szCs w:val="24"/>
        </w:rPr>
        <w:t>princípio da proporcionalidade</w:t>
      </w:r>
      <w:r w:rsidRPr="00E654E0">
        <w:rPr>
          <w:rFonts w:ascii="Times New Roman" w:hAnsi="Times New Roman" w:cs="Times New Roman"/>
          <w:sz w:val="24"/>
          <w:szCs w:val="24"/>
        </w:rPr>
        <w:t xml:space="preserve"> –, artigo 18.º número 2 da Constituição da República Portuguesa</w:t>
      </w:r>
      <w:r>
        <w:rPr>
          <w:rStyle w:val="Refdenotaderodap"/>
          <w:rFonts w:ascii="Times New Roman" w:hAnsi="Times New Roman" w:cs="Times New Roman"/>
          <w:sz w:val="24"/>
          <w:szCs w:val="24"/>
        </w:rPr>
        <w:footnoteReference w:id="100"/>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Relativamente à exigência de legalidade, diversos acórdãos do Tribunal Europ</w:t>
      </w:r>
      <w:r>
        <w:rPr>
          <w:rFonts w:ascii="Times New Roman" w:hAnsi="Times New Roman" w:cs="Times New Roman"/>
          <w:sz w:val="24"/>
          <w:szCs w:val="24"/>
        </w:rPr>
        <w:t>eu dos Direitos do Homem</w:t>
      </w:r>
      <w:r w:rsidRPr="00E654E0">
        <w:rPr>
          <w:rFonts w:ascii="Times New Roman" w:hAnsi="Times New Roman" w:cs="Times New Roman"/>
          <w:sz w:val="24"/>
          <w:szCs w:val="24"/>
        </w:rPr>
        <w:t xml:space="preserve"> têm defendido a </w:t>
      </w:r>
      <w:r w:rsidRPr="00E654E0">
        <w:rPr>
          <w:rFonts w:ascii="Times New Roman" w:hAnsi="Times New Roman" w:cs="Times New Roman"/>
          <w:i/>
          <w:sz w:val="24"/>
          <w:szCs w:val="24"/>
        </w:rPr>
        <w:t>violação do artigo 6.º da Convenção, nos casos em que haja utilização em processo penal de prova recolhida em investigação não judicial, mediante colaboração do arguido, obtida sob coerção da aplicação de sanções, quando sobre ele já recaíam suspeitas da prática do crime pelo qual viria a ser acusado</w:t>
      </w:r>
      <w:r w:rsidRPr="00E654E0">
        <w:rPr>
          <w:rStyle w:val="Refdenotaderodap"/>
          <w:rFonts w:ascii="Times New Roman" w:hAnsi="Times New Roman" w:cs="Times New Roman"/>
          <w:i/>
          <w:sz w:val="24"/>
          <w:szCs w:val="24"/>
        </w:rPr>
        <w:footnoteReference w:id="101"/>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Não são aqueles casos situações iguais às que procuramos tratar.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O início de um procedimento inspetivo não resulta de uma </w:t>
      </w:r>
      <w:r w:rsidRPr="00E654E0">
        <w:rPr>
          <w:rFonts w:ascii="Times New Roman" w:hAnsi="Times New Roman" w:cs="Times New Roman"/>
          <w:i/>
          <w:sz w:val="24"/>
          <w:szCs w:val="24"/>
        </w:rPr>
        <w:t xml:space="preserve">suspeita da prática de um crime </w:t>
      </w:r>
      <w:r w:rsidRPr="00E654E0">
        <w:rPr>
          <w:rFonts w:ascii="Times New Roman" w:hAnsi="Times New Roman" w:cs="Times New Roman"/>
          <w:sz w:val="24"/>
          <w:szCs w:val="24"/>
        </w:rPr>
        <w:t>pelo contribuinte</w:t>
      </w:r>
      <w:r w:rsidRPr="00E654E0">
        <w:rPr>
          <w:rStyle w:val="Refdenotaderodap"/>
          <w:rFonts w:ascii="Times New Roman" w:hAnsi="Times New Roman" w:cs="Times New Roman"/>
          <w:sz w:val="24"/>
          <w:szCs w:val="24"/>
        </w:rPr>
        <w:footnoteReference w:id="102"/>
      </w:r>
      <w:r w:rsidRPr="00E654E0">
        <w:rPr>
          <w:rFonts w:ascii="Times New Roman" w:hAnsi="Times New Roman" w:cs="Times New Roman"/>
          <w:sz w:val="24"/>
          <w:szCs w:val="24"/>
        </w:rPr>
        <w:t>. O que fundamenta o recurso a um procedimento de inspeção, é uma necessidade de esclarecimento da sua situação financeira, para uma correta determinação do seu tributo e promoção da justiça social pela Administração</w:t>
      </w:r>
      <w:r w:rsidRPr="00E654E0">
        <w:rPr>
          <w:rStyle w:val="Refdenotaderodap"/>
          <w:rFonts w:ascii="Times New Roman" w:hAnsi="Times New Roman" w:cs="Times New Roman"/>
          <w:sz w:val="24"/>
          <w:szCs w:val="24"/>
        </w:rPr>
        <w:footnoteReference w:id="103"/>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Pode acontecer que no decorrer do procedimento, os agentes da Administração Tributária tomem conhecimento de indícios da prática de um crime. Passando a haver uma suspeita sob o inspecionado, devem os agentes inspetivos comunicá-la imediatamente ao órgão da Administração Tributária com competência delegada para o inquérito. A prorrogação da atividade inspetiva, após o conhecimento de indícios da prática de um crime, </w:t>
      </w:r>
      <w:r w:rsidRPr="00E654E0">
        <w:rPr>
          <w:rFonts w:ascii="Times New Roman" w:hAnsi="Times New Roman" w:cs="Times New Roman"/>
          <w:i/>
          <w:sz w:val="24"/>
          <w:szCs w:val="24"/>
        </w:rPr>
        <w:t xml:space="preserve">com a finalidade de recolha de meios de prova para o processo penal a instaurar, abusando do dever de colaboração do contribuinte, </w:t>
      </w:r>
      <w:r w:rsidRPr="00E654E0">
        <w:rPr>
          <w:rFonts w:ascii="Times New Roman" w:hAnsi="Times New Roman" w:cs="Times New Roman"/>
          <w:sz w:val="24"/>
          <w:szCs w:val="24"/>
        </w:rPr>
        <w:t>tem como consequência natural a inadmissibilidade dos documentos obtidos na fase inspetiva</w:t>
      </w:r>
      <w:r w:rsidRPr="00E654E0">
        <w:rPr>
          <w:rStyle w:val="Refdenotaderodap"/>
          <w:rFonts w:ascii="Times New Roman" w:hAnsi="Times New Roman" w:cs="Times New Roman"/>
          <w:sz w:val="24"/>
          <w:szCs w:val="24"/>
        </w:rPr>
        <w:footnoteReference w:id="104"/>
      </w:r>
      <w:r w:rsidRPr="00E654E0">
        <w:rPr>
          <w:rFonts w:ascii="Times New Roman" w:hAnsi="Times New Roman" w:cs="Times New Roman"/>
          <w:sz w:val="24"/>
          <w:szCs w:val="24"/>
        </w:rPr>
        <w:t xml:space="preserve">. Como afirma PAULO MARQUES, </w:t>
      </w:r>
      <w:r w:rsidRPr="00E654E0">
        <w:rPr>
          <w:rFonts w:ascii="Times New Roman" w:hAnsi="Times New Roman" w:cs="Times New Roman"/>
          <w:i/>
          <w:sz w:val="24"/>
          <w:szCs w:val="24"/>
        </w:rPr>
        <w:t xml:space="preserve">as provas que possam colidir com a liberdade ou vontade do contribuinte ou tenham sido obtidas de modo porventura censurável, caso se demonstre cabalmente que o procedimento inspetivo apenas teve como finalidade a recolha de prova para o processo criminal subsequente, têm como sanção natural a sua nulidade </w:t>
      </w:r>
      <w:r w:rsidRPr="00E654E0">
        <w:rPr>
          <w:rFonts w:ascii="Times New Roman" w:hAnsi="Times New Roman" w:cs="Times New Roman"/>
          <w:sz w:val="24"/>
          <w:szCs w:val="24"/>
        </w:rPr>
        <w:t xml:space="preserve">– artigo 126.º número 2 alínea </w:t>
      </w:r>
      <w:r w:rsidRPr="00E654E0">
        <w:rPr>
          <w:rFonts w:ascii="Times New Roman" w:hAnsi="Times New Roman" w:cs="Times New Roman"/>
          <w:i/>
          <w:sz w:val="24"/>
          <w:szCs w:val="24"/>
        </w:rPr>
        <w:t xml:space="preserve">a) </w:t>
      </w:r>
      <w:r w:rsidRPr="00E654E0">
        <w:rPr>
          <w:rFonts w:ascii="Times New Roman" w:hAnsi="Times New Roman" w:cs="Times New Roman"/>
          <w:sz w:val="24"/>
          <w:szCs w:val="24"/>
        </w:rPr>
        <w:t>do Código de Processo Penal</w:t>
      </w:r>
      <w:r w:rsidRPr="00E654E0">
        <w:rPr>
          <w:rStyle w:val="Refdenotaderodap"/>
          <w:rFonts w:ascii="Times New Roman" w:hAnsi="Times New Roman" w:cs="Times New Roman"/>
          <w:sz w:val="24"/>
          <w:szCs w:val="24"/>
        </w:rPr>
        <w:footnoteReference w:id="105"/>
      </w:r>
      <w:r w:rsidRPr="00E654E0">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Outra gar</w:t>
      </w:r>
      <w:r>
        <w:rPr>
          <w:rFonts w:ascii="Times New Roman" w:hAnsi="Times New Roman" w:cs="Times New Roman"/>
          <w:sz w:val="24"/>
          <w:szCs w:val="24"/>
        </w:rPr>
        <w:t>antia de defesa do contribuinte</w:t>
      </w:r>
      <w:r w:rsidRPr="00E654E0">
        <w:rPr>
          <w:rFonts w:ascii="Times New Roman" w:hAnsi="Times New Roman" w:cs="Times New Roman"/>
          <w:sz w:val="24"/>
          <w:szCs w:val="24"/>
        </w:rPr>
        <w:t xml:space="preserve"> contra uma atuação abusiva e contrária às finalidades do procedimento inspetivo, é a possibilidade de ser constituído arguido, a seu pedido, quando estiverem a ser efetuadas diligências destinadas a comprovar a suspeita da prática de um crime – artigo 59.º número 2 do Código de Processo Penal</w:t>
      </w:r>
      <w:r w:rsidRPr="00E654E0">
        <w:rPr>
          <w:rStyle w:val="Refdenotaderodap"/>
          <w:rFonts w:ascii="Times New Roman" w:hAnsi="Times New Roman" w:cs="Times New Roman"/>
          <w:sz w:val="24"/>
          <w:szCs w:val="24"/>
        </w:rPr>
        <w:footnoteReference w:id="106"/>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PAULO MARQUES enuncia como uma viável solução contra os abusos da Administração Tributária, </w:t>
      </w:r>
      <w:r w:rsidRPr="00E654E0">
        <w:rPr>
          <w:rFonts w:ascii="Times New Roman" w:hAnsi="Times New Roman" w:cs="Times New Roman"/>
          <w:i/>
          <w:sz w:val="24"/>
          <w:szCs w:val="24"/>
        </w:rPr>
        <w:t>o reconhecimento da possibilidade de invocação de princípios próprios do processo penal na fase de investigação</w:t>
      </w:r>
      <w:r w:rsidRPr="00E654E0">
        <w:rPr>
          <w:rStyle w:val="Refdenotaderodap"/>
          <w:rFonts w:ascii="Times New Roman" w:hAnsi="Times New Roman" w:cs="Times New Roman"/>
          <w:i/>
          <w:sz w:val="24"/>
          <w:szCs w:val="24"/>
        </w:rPr>
        <w:footnoteReference w:id="107"/>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Contudo, parece-nos que a atribuição de</w:t>
      </w:r>
      <w:r>
        <w:rPr>
          <w:rFonts w:ascii="Times New Roman" w:hAnsi="Times New Roman" w:cs="Times New Roman"/>
          <w:sz w:val="24"/>
          <w:szCs w:val="24"/>
        </w:rPr>
        <w:t>sta faculdade aos contribuintes</w:t>
      </w:r>
      <w:r w:rsidRPr="00E654E0">
        <w:rPr>
          <w:rFonts w:ascii="Times New Roman" w:hAnsi="Times New Roman" w:cs="Times New Roman"/>
          <w:sz w:val="24"/>
          <w:szCs w:val="24"/>
        </w:rPr>
        <w:t xml:space="preserve"> viria desvirtuar as próprias finalidades do procedimento inspetivo, transformando-o numa mistura entre procedimento tributário, enquanto instrumento de determinação do rendimento real do contribuinte, e </w:t>
      </w:r>
      <w:r>
        <w:rPr>
          <w:rFonts w:ascii="Times New Roman" w:hAnsi="Times New Roman" w:cs="Times New Roman"/>
          <w:sz w:val="24"/>
          <w:szCs w:val="24"/>
        </w:rPr>
        <w:t>processo criminal, enquanto pré-</w:t>
      </w:r>
      <w:r w:rsidRPr="00E654E0">
        <w:rPr>
          <w:rFonts w:ascii="Times New Roman" w:hAnsi="Times New Roman" w:cs="Times New Roman"/>
          <w:sz w:val="24"/>
          <w:szCs w:val="24"/>
        </w:rPr>
        <w:t>fase investigatória do processo penal sujeita às garantias de defesa do arguido.</w:t>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Admitir esta possibilidade seria permitir à partida que os agentes da Administração Tributária investigassem a prática de um crime pelo contr</w:t>
      </w:r>
      <w:r>
        <w:rPr>
          <w:rFonts w:ascii="Times New Roman" w:hAnsi="Times New Roman" w:cs="Times New Roman"/>
          <w:sz w:val="24"/>
          <w:szCs w:val="24"/>
        </w:rPr>
        <w:t xml:space="preserve">ibuinte </w:t>
      </w:r>
      <w:r w:rsidRPr="00E654E0">
        <w:rPr>
          <w:rFonts w:ascii="Times New Roman" w:hAnsi="Times New Roman" w:cs="Times New Roman"/>
          <w:sz w:val="24"/>
          <w:szCs w:val="24"/>
        </w:rPr>
        <w:t>quando sobre ele existissem suspeitas.</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AUGUSTO SILVA DIAS e VÂNIA COSTA RAMOS entendem que mais do que uma separação a nível substantivo justifica-se uma separação entre o procedimento tributário e o processo criminal a nível procedimental, evitando-se deste modo o acesso da </w:t>
      </w:r>
      <w:r w:rsidRPr="00E654E0">
        <w:rPr>
          <w:rFonts w:ascii="Times New Roman" w:hAnsi="Times New Roman" w:cs="Times New Roman"/>
          <w:i/>
          <w:sz w:val="24"/>
          <w:szCs w:val="24"/>
        </w:rPr>
        <w:t>entidade competente para investigar os crimes aos elementos e informações prestados pelo contribuinte e já utilizados contra ele para efeitos de regularização da sua situação fiscal</w:t>
      </w:r>
      <w:r w:rsidRPr="00E654E0">
        <w:rPr>
          <w:rStyle w:val="Refdenotaderodap"/>
          <w:rFonts w:ascii="Times New Roman" w:hAnsi="Times New Roman" w:cs="Times New Roman"/>
          <w:i/>
          <w:sz w:val="24"/>
          <w:szCs w:val="24"/>
        </w:rPr>
        <w:footnoteReference w:id="108"/>
      </w:r>
      <w:r w:rsidRPr="00E654E0">
        <w:rPr>
          <w:rFonts w:ascii="Times New Roman" w:hAnsi="Times New Roman" w:cs="Times New Roman"/>
          <w:sz w:val="24"/>
          <w:szCs w:val="24"/>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Não podemos deixar de concordar com FREDERICO COSTA PINTO quando afirma que a inutilização de tais elementos para efeitos de responsabilidade criminal do arguido criaria situações de imunidade, quando qualquer elemento entregue à Administração Tributária para efeitos de quantificação da obrigação fiscal viesse mais tarde a ser relacionado com uma infração, </w:t>
      </w:r>
      <w:r w:rsidRPr="00E654E0">
        <w:rPr>
          <w:rFonts w:ascii="Times New Roman" w:hAnsi="Times New Roman" w:cs="Times New Roman"/>
          <w:i/>
          <w:sz w:val="24"/>
          <w:szCs w:val="24"/>
        </w:rPr>
        <w:t xml:space="preserve">como não há processo sancionatório sem prova, o cumprimento da lei, </w:t>
      </w:r>
      <w:r w:rsidRPr="00E654E0">
        <w:rPr>
          <w:rFonts w:ascii="Times New Roman" w:hAnsi="Times New Roman" w:cs="Times New Roman"/>
          <w:sz w:val="24"/>
          <w:szCs w:val="24"/>
        </w:rPr>
        <w:t xml:space="preserve">no procedimento inspetivo, </w:t>
      </w:r>
      <w:r w:rsidRPr="00E654E0">
        <w:rPr>
          <w:rFonts w:ascii="Times New Roman" w:hAnsi="Times New Roman" w:cs="Times New Roman"/>
          <w:i/>
          <w:sz w:val="24"/>
          <w:szCs w:val="24"/>
        </w:rPr>
        <w:t>acabaria por impedir o cumprimento da lei</w:t>
      </w:r>
      <w:r w:rsidRPr="00E654E0">
        <w:rPr>
          <w:rFonts w:ascii="Times New Roman" w:hAnsi="Times New Roman" w:cs="Times New Roman"/>
          <w:sz w:val="24"/>
          <w:szCs w:val="24"/>
        </w:rPr>
        <w:t>, na fase criminal</w:t>
      </w:r>
      <w:r w:rsidRPr="00E654E0">
        <w:rPr>
          <w:rStyle w:val="Refdenotaderodap"/>
          <w:rFonts w:ascii="Times New Roman" w:hAnsi="Times New Roman" w:cs="Times New Roman"/>
          <w:sz w:val="24"/>
          <w:szCs w:val="24"/>
        </w:rPr>
        <w:footnoteReference w:id="109"/>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Para além disso, segundo PAULO MARQUES a legalidade da transmissão de documentos do procedimento de inspeção para o</w:t>
      </w:r>
      <w:r>
        <w:rPr>
          <w:rFonts w:ascii="Times New Roman" w:hAnsi="Times New Roman" w:cs="Times New Roman"/>
          <w:sz w:val="24"/>
          <w:szCs w:val="24"/>
        </w:rPr>
        <w:t xml:space="preserve"> processo criminal</w:t>
      </w:r>
      <w:r w:rsidRPr="00E654E0">
        <w:rPr>
          <w:rFonts w:ascii="Times New Roman" w:hAnsi="Times New Roman" w:cs="Times New Roman"/>
          <w:sz w:val="24"/>
          <w:szCs w:val="24"/>
        </w:rPr>
        <w:t xml:space="preserve"> incide no dever de colaboração a que estão sujeitas as entidades públicas, por aplicação do artigo 381.º do Código Penal. Tendo os investigadores acesso ao acervo informativo daquelas entidades, devem cooperar para prossecução do interesse superior do Estado que é a investigação criminal fiscal</w:t>
      </w:r>
      <w:r w:rsidRPr="00E654E0">
        <w:rPr>
          <w:rStyle w:val="Refdenotaderodap"/>
          <w:rFonts w:ascii="Times New Roman" w:hAnsi="Times New Roman" w:cs="Times New Roman"/>
          <w:sz w:val="24"/>
          <w:szCs w:val="24"/>
        </w:rPr>
        <w:footnoteReference w:id="110"/>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Par</w:t>
      </w:r>
      <w:r>
        <w:rPr>
          <w:rFonts w:ascii="Times New Roman" w:hAnsi="Times New Roman" w:cs="Times New Roman"/>
          <w:sz w:val="24"/>
          <w:szCs w:val="24"/>
        </w:rPr>
        <w:t>a que se possa ainda considerar</w:t>
      </w:r>
      <w:r w:rsidRPr="00E654E0">
        <w:rPr>
          <w:rFonts w:ascii="Times New Roman" w:hAnsi="Times New Roman" w:cs="Times New Roman"/>
          <w:sz w:val="24"/>
          <w:szCs w:val="24"/>
        </w:rPr>
        <w:t xml:space="preserve"> a imposição de um dever d</w:t>
      </w:r>
      <w:r>
        <w:rPr>
          <w:rFonts w:ascii="Times New Roman" w:hAnsi="Times New Roman" w:cs="Times New Roman"/>
          <w:sz w:val="24"/>
          <w:szCs w:val="24"/>
        </w:rPr>
        <w:t>e colaboração aos contribuintes</w:t>
      </w:r>
      <w:r w:rsidRPr="00E654E0">
        <w:rPr>
          <w:rFonts w:ascii="Times New Roman" w:hAnsi="Times New Roman" w:cs="Times New Roman"/>
          <w:sz w:val="24"/>
          <w:szCs w:val="24"/>
        </w:rPr>
        <w:t xml:space="preserve"> como inconstitucional, por atravé</w:t>
      </w:r>
      <w:r>
        <w:rPr>
          <w:rFonts w:ascii="Times New Roman" w:hAnsi="Times New Roman" w:cs="Times New Roman"/>
          <w:sz w:val="24"/>
          <w:szCs w:val="24"/>
        </w:rPr>
        <w:t>s de meios enganosos e coativos</w:t>
      </w:r>
      <w:r w:rsidRPr="00E654E0">
        <w:rPr>
          <w:rFonts w:ascii="Times New Roman" w:hAnsi="Times New Roman" w:cs="Times New Roman"/>
          <w:sz w:val="24"/>
          <w:szCs w:val="24"/>
        </w:rPr>
        <w:t xml:space="preserve"> visar obter prova necessária para um posterior processo criminal, é necessário verificar o que se entende por meios enganosos de obtenção de prova – artigo 126.º número 2 alínea </w:t>
      </w:r>
      <w:r w:rsidRPr="00E654E0">
        <w:rPr>
          <w:rFonts w:ascii="Times New Roman" w:hAnsi="Times New Roman" w:cs="Times New Roman"/>
          <w:i/>
          <w:sz w:val="24"/>
          <w:szCs w:val="24"/>
        </w:rPr>
        <w:t xml:space="preserve">a) </w:t>
      </w:r>
      <w:r w:rsidRPr="00E654E0">
        <w:rPr>
          <w:rFonts w:ascii="Times New Roman" w:hAnsi="Times New Roman" w:cs="Times New Roman"/>
          <w:sz w:val="24"/>
          <w:szCs w:val="24"/>
        </w:rPr>
        <w:t xml:space="preserve">do Código de Processo Penal. </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r>
      <w:r>
        <w:rPr>
          <w:rFonts w:ascii="Times New Roman" w:hAnsi="Times New Roman" w:cs="Times New Roman"/>
          <w:sz w:val="24"/>
          <w:szCs w:val="24"/>
        </w:rPr>
        <w:t>FIGUEIREDO DIAS e COSTA ANDRADE</w:t>
      </w:r>
      <w:r w:rsidRPr="00E654E0">
        <w:rPr>
          <w:rFonts w:ascii="Times New Roman" w:hAnsi="Times New Roman" w:cs="Times New Roman"/>
          <w:sz w:val="24"/>
          <w:szCs w:val="24"/>
        </w:rPr>
        <w:t xml:space="preserve"> ensinam que para considerarmos haver o recurso a meios enganosos de obtenção de prova é necessário: </w:t>
      </w:r>
      <w:r w:rsidRPr="00E654E0">
        <w:rPr>
          <w:rFonts w:ascii="Times New Roman" w:hAnsi="Times New Roman" w:cs="Times New Roman"/>
          <w:i/>
          <w:sz w:val="24"/>
          <w:szCs w:val="24"/>
        </w:rPr>
        <w:t>em primeiro lugar, haver um erro provocado ativa e dolosamente pelos órgãos de investigação criminal, através de palavras, declarações ou atos concludentes, que provocam no agente uma falsa representação da realidade (primeiro nexo de causalidade); e, em segundo lugar, que aquele erro tenha sido determinante da prestação da prova (em termos de nexo de causalidade)</w:t>
      </w:r>
      <w:r w:rsidRPr="00E654E0">
        <w:rPr>
          <w:rStyle w:val="Refdenotaderodap"/>
          <w:rFonts w:ascii="Times New Roman" w:hAnsi="Times New Roman" w:cs="Times New Roman"/>
          <w:i/>
          <w:sz w:val="24"/>
          <w:szCs w:val="24"/>
        </w:rPr>
        <w:footnoteReference w:id="111"/>
      </w:r>
      <w:r w:rsidRPr="00E654E0">
        <w:rPr>
          <w:rFonts w:ascii="Times New Roman" w:hAnsi="Times New Roman" w:cs="Times New Roman"/>
          <w:i/>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Não há, por parte dos agentes inspetivos, qualquer tentativa de indução do contribuinte em erro, tentando obter por meios desleais documentos e informações que o autoincriminem – </w:t>
      </w:r>
      <w:r w:rsidRPr="00E654E0">
        <w:rPr>
          <w:rFonts w:ascii="Times New Roman" w:hAnsi="Times New Roman" w:cs="Times New Roman"/>
          <w:i/>
          <w:sz w:val="24"/>
          <w:szCs w:val="24"/>
        </w:rPr>
        <w:t>inexistência de erro -</w:t>
      </w:r>
      <w:r w:rsidRPr="00E654E0">
        <w:rPr>
          <w:rFonts w:ascii="Times New Roman" w:hAnsi="Times New Roman" w:cs="Times New Roman"/>
          <w:sz w:val="24"/>
          <w:szCs w:val="24"/>
        </w:rPr>
        <w:t xml:space="preserve">, a imposição de um dever de colaboração, </w:t>
      </w:r>
      <w:r w:rsidRPr="00E654E0">
        <w:rPr>
          <w:rFonts w:ascii="Times New Roman" w:hAnsi="Times New Roman" w:cs="Times New Roman"/>
          <w:i/>
          <w:sz w:val="24"/>
          <w:szCs w:val="24"/>
        </w:rPr>
        <w:t xml:space="preserve">previsto na própria lei, </w:t>
      </w:r>
      <w:r w:rsidRPr="00E654E0">
        <w:rPr>
          <w:rFonts w:ascii="Times New Roman" w:hAnsi="Times New Roman" w:cs="Times New Roman"/>
          <w:sz w:val="24"/>
          <w:szCs w:val="24"/>
        </w:rPr>
        <w:t xml:space="preserve">visa apenas </w:t>
      </w:r>
      <w:r w:rsidRPr="00E654E0">
        <w:rPr>
          <w:rFonts w:ascii="Times New Roman" w:hAnsi="Times New Roman" w:cs="Times New Roman"/>
          <w:i/>
          <w:sz w:val="24"/>
          <w:szCs w:val="24"/>
        </w:rPr>
        <w:t>esclarecer uma situação e não extrair uma confissão de culpa</w:t>
      </w:r>
      <w:r w:rsidRPr="00E654E0">
        <w:rPr>
          <w:rStyle w:val="Refdenotaderodap"/>
          <w:rFonts w:ascii="Times New Roman" w:hAnsi="Times New Roman" w:cs="Times New Roman"/>
          <w:i/>
          <w:sz w:val="24"/>
          <w:szCs w:val="24"/>
        </w:rPr>
        <w:footnoteReference w:id="112"/>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obrigação de colaboração a que estão sujeitos os contribuintes, para além de expressa consagração legal, está de acordo com os princípios fundamentais do nosso ordenamento jurídico.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Deste modo, consideramos estarem verificadas as exigências decorrentes do princípio da legalidade, a restrição ao direito à não autoincriminação resulta de previsão legal prévia e expressa, com caráter geral e abstrato</w:t>
      </w:r>
      <w:r w:rsidRPr="00E654E0">
        <w:rPr>
          <w:rStyle w:val="Refdenotaderodap"/>
          <w:rFonts w:ascii="Times New Roman" w:hAnsi="Times New Roman" w:cs="Times New Roman"/>
          <w:sz w:val="24"/>
          <w:szCs w:val="24"/>
        </w:rPr>
        <w:footnoteReference w:id="113"/>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Relativamente ao princípio da proporcionalidade, sabemos que este princípio se desdobra em três subprincípios: princípio da adequação, da exigibilidade e da proporcionalidade em sentido estrito. </w:t>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sz w:val="24"/>
          <w:szCs w:val="24"/>
        </w:rPr>
        <w:tab/>
        <w:t xml:space="preserve">O princípio da adequação dispõe que </w:t>
      </w:r>
      <w:r w:rsidRPr="00E654E0">
        <w:rPr>
          <w:rFonts w:ascii="Times New Roman" w:hAnsi="Times New Roman" w:cs="Times New Roman"/>
          <w:i/>
          <w:color w:val="363636"/>
          <w:sz w:val="24"/>
          <w:szCs w:val="24"/>
          <w:shd w:val="clear" w:color="auto" w:fill="FFFFFF"/>
        </w:rPr>
        <w:t>as medidas restritivas legalmente previstas devem revelar-se como meio adequado para a prossecução dos fins visados pela lei</w:t>
      </w:r>
      <w:r w:rsidRPr="00E654E0">
        <w:rPr>
          <w:rStyle w:val="Refdenotaderodap"/>
          <w:rFonts w:ascii="Times New Roman" w:hAnsi="Times New Roman" w:cs="Times New Roman"/>
          <w:i/>
          <w:color w:val="363636"/>
          <w:sz w:val="24"/>
          <w:szCs w:val="24"/>
          <w:shd w:val="clear" w:color="auto" w:fill="FFFFFF"/>
        </w:rPr>
        <w:footnoteReference w:id="114"/>
      </w:r>
      <w:r w:rsidRPr="00E654E0">
        <w:rPr>
          <w:rFonts w:ascii="Times New Roman" w:hAnsi="Times New Roman" w:cs="Times New Roman"/>
          <w:color w:val="363636"/>
          <w:sz w:val="24"/>
          <w:szCs w:val="24"/>
          <w:shd w:val="clear" w:color="auto" w:fill="FFFFFF"/>
        </w:rPr>
        <w:t xml:space="preserve">. </w:t>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color w:val="363636"/>
          <w:sz w:val="24"/>
          <w:szCs w:val="24"/>
          <w:shd w:val="clear" w:color="auto" w:fill="FFFFFF"/>
        </w:rPr>
        <w:tab/>
        <w:t xml:space="preserve">Vimos que o </w:t>
      </w:r>
      <w:r w:rsidRPr="00E654E0">
        <w:rPr>
          <w:rFonts w:ascii="Times New Roman" w:hAnsi="Times New Roman" w:cs="Times New Roman"/>
          <w:i/>
          <w:color w:val="363636"/>
          <w:sz w:val="24"/>
          <w:szCs w:val="24"/>
          <w:shd w:val="clear" w:color="auto" w:fill="FFFFFF"/>
        </w:rPr>
        <w:t>sistema fiscal e as normas relativas ao procedimento tributário têm em vista a realização de tarefas fundamentais do Estado</w:t>
      </w:r>
      <w:r w:rsidRPr="00E654E0">
        <w:rPr>
          <w:rFonts w:ascii="Times New Roman" w:hAnsi="Times New Roman" w:cs="Times New Roman"/>
          <w:color w:val="363636"/>
          <w:sz w:val="24"/>
          <w:szCs w:val="24"/>
          <w:shd w:val="clear" w:color="auto" w:fill="FFFFFF"/>
        </w:rPr>
        <w:t xml:space="preserve"> – satisfação das suas necessidades financeiras e de outras entidades públicas -</w:t>
      </w:r>
      <w:r w:rsidRPr="00E654E0">
        <w:rPr>
          <w:rFonts w:ascii="Times New Roman" w:hAnsi="Times New Roman" w:cs="Times New Roman"/>
          <w:i/>
          <w:color w:val="363636"/>
          <w:sz w:val="24"/>
          <w:szCs w:val="24"/>
          <w:shd w:val="clear" w:color="auto" w:fill="FFFFFF"/>
        </w:rPr>
        <w:t xml:space="preserve"> e a salvaguarda de valores constitucionais </w:t>
      </w:r>
      <w:r w:rsidRPr="00E654E0">
        <w:rPr>
          <w:rFonts w:ascii="Times New Roman" w:hAnsi="Times New Roman" w:cs="Times New Roman"/>
          <w:color w:val="363636"/>
          <w:sz w:val="24"/>
          <w:szCs w:val="24"/>
          <w:shd w:val="clear" w:color="auto" w:fill="FFFFFF"/>
        </w:rPr>
        <w:t>- justiça e igualdade tributária, através de uma repartição justa dos rendimentos e da riqueza</w:t>
      </w:r>
      <w:r w:rsidRPr="00E654E0">
        <w:rPr>
          <w:rStyle w:val="Refdenotaderodap"/>
          <w:rFonts w:ascii="Times New Roman" w:hAnsi="Times New Roman" w:cs="Times New Roman"/>
          <w:color w:val="363636"/>
          <w:sz w:val="24"/>
          <w:szCs w:val="24"/>
          <w:shd w:val="clear" w:color="auto" w:fill="FFFFFF"/>
        </w:rPr>
        <w:footnoteReference w:id="115"/>
      </w:r>
      <w:r w:rsidRPr="00E654E0">
        <w:rPr>
          <w:rFonts w:ascii="Times New Roman" w:hAnsi="Times New Roman" w:cs="Times New Roman"/>
          <w:color w:val="363636"/>
          <w:sz w:val="24"/>
          <w:szCs w:val="24"/>
          <w:shd w:val="clear" w:color="auto" w:fill="FFFFFF"/>
        </w:rPr>
        <w:t xml:space="preserve">. </w:t>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color w:val="363636"/>
          <w:sz w:val="24"/>
          <w:szCs w:val="24"/>
          <w:shd w:val="clear" w:color="auto" w:fill="FFFFFF"/>
        </w:rPr>
        <w:tab/>
        <w:t>É por motivos de interesse público e respeito pelas incumbências a que está sujeito o Estado – promover a justiça social, realizando as necessárias correções das desigualdades na distribuição da riqueza e do rendimento, nomeadamente através de política fiscal</w:t>
      </w:r>
      <w:r w:rsidRPr="00E654E0">
        <w:rPr>
          <w:rStyle w:val="Refdenotaderodap"/>
          <w:rFonts w:ascii="Times New Roman" w:hAnsi="Times New Roman" w:cs="Times New Roman"/>
          <w:color w:val="363636"/>
          <w:sz w:val="24"/>
          <w:szCs w:val="24"/>
          <w:shd w:val="clear" w:color="auto" w:fill="FFFFFF"/>
        </w:rPr>
        <w:footnoteReference w:id="116"/>
      </w:r>
      <w:r w:rsidRPr="00E654E0">
        <w:rPr>
          <w:rFonts w:ascii="Times New Roman" w:hAnsi="Times New Roman" w:cs="Times New Roman"/>
          <w:color w:val="363636"/>
          <w:sz w:val="24"/>
          <w:szCs w:val="24"/>
          <w:shd w:val="clear" w:color="auto" w:fill="FFFFFF"/>
        </w:rPr>
        <w:t xml:space="preserve"> - </w:t>
      </w:r>
      <w:r w:rsidRPr="00E654E0">
        <w:rPr>
          <w:rFonts w:ascii="Times New Roman" w:hAnsi="Times New Roman" w:cs="Times New Roman"/>
          <w:i/>
          <w:color w:val="363636"/>
          <w:sz w:val="24"/>
          <w:szCs w:val="24"/>
          <w:shd w:val="clear" w:color="auto" w:fill="FFFFFF"/>
        </w:rPr>
        <w:t>que se estabelecem os referidos deveres de cooperação dos contribuintes, dos quais poderão resultar a compressão de alguns direitos destes, compressão entendida como necessária no sentido de evitar que aquela superior e pública finalidade do sistema fiscal se mostre comprometida</w:t>
      </w:r>
      <w:r w:rsidRPr="00E654E0">
        <w:rPr>
          <w:rStyle w:val="Refdenotaderodap"/>
          <w:rFonts w:ascii="Times New Roman" w:hAnsi="Times New Roman" w:cs="Times New Roman"/>
          <w:i/>
          <w:color w:val="363636"/>
          <w:sz w:val="24"/>
          <w:szCs w:val="24"/>
          <w:shd w:val="clear" w:color="auto" w:fill="FFFFFF"/>
        </w:rPr>
        <w:footnoteReference w:id="117"/>
      </w:r>
      <w:r w:rsidRPr="00E654E0">
        <w:rPr>
          <w:rFonts w:ascii="Times New Roman" w:hAnsi="Times New Roman" w:cs="Times New Roman"/>
          <w:i/>
          <w:color w:val="363636"/>
          <w:sz w:val="24"/>
          <w:szCs w:val="24"/>
          <w:shd w:val="clear" w:color="auto" w:fill="FFFFFF"/>
        </w:rPr>
        <w:t>.</w:t>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sz w:val="24"/>
          <w:szCs w:val="24"/>
        </w:rPr>
        <w:tab/>
        <w:t xml:space="preserve">O princípio da exigibilidade declara que </w:t>
      </w:r>
      <w:r w:rsidRPr="00E654E0">
        <w:rPr>
          <w:rFonts w:ascii="Times New Roman" w:hAnsi="Times New Roman" w:cs="Times New Roman"/>
          <w:i/>
          <w:color w:val="363636"/>
          <w:sz w:val="24"/>
          <w:szCs w:val="24"/>
          <w:shd w:val="clear" w:color="auto" w:fill="FFFFFF"/>
        </w:rPr>
        <w:t>as medidas restritivas previstas na lei devem revelar-se necessárias, porque os fins visados pela lei não podiam ser obtidos por outros meios menos onerosos para os direitos liberdades e garantias</w:t>
      </w:r>
      <w:r w:rsidRPr="00E654E0">
        <w:rPr>
          <w:rStyle w:val="Refdenotaderodap"/>
          <w:rFonts w:ascii="Times New Roman" w:hAnsi="Times New Roman" w:cs="Times New Roman"/>
          <w:i/>
          <w:color w:val="363636"/>
          <w:sz w:val="24"/>
          <w:szCs w:val="24"/>
          <w:shd w:val="clear" w:color="auto" w:fill="FFFFFF"/>
        </w:rPr>
        <w:footnoteReference w:id="118"/>
      </w:r>
      <w:r w:rsidRPr="00E654E0">
        <w:rPr>
          <w:rFonts w:ascii="Times New Roman" w:hAnsi="Times New Roman" w:cs="Times New Roman"/>
          <w:i/>
          <w:color w:val="363636"/>
          <w:sz w:val="24"/>
          <w:szCs w:val="24"/>
          <w:shd w:val="clear" w:color="auto" w:fill="FFFFFF"/>
        </w:rPr>
        <w:t>.</w:t>
      </w:r>
    </w:p>
    <w:p w:rsidR="00036D26" w:rsidRPr="00E654E0" w:rsidRDefault="00036D26" w:rsidP="00036D26">
      <w:pPr>
        <w:spacing w:line="360" w:lineRule="auto"/>
        <w:jc w:val="both"/>
        <w:rPr>
          <w:rFonts w:ascii="Times New Roman" w:hAnsi="Times New Roman" w:cs="Times New Roman"/>
          <w:i/>
          <w:color w:val="363636"/>
          <w:sz w:val="24"/>
          <w:szCs w:val="24"/>
          <w:shd w:val="clear" w:color="auto" w:fill="FFFFFF"/>
        </w:rPr>
      </w:pPr>
      <w:r w:rsidRPr="00E654E0">
        <w:rPr>
          <w:rFonts w:ascii="Times New Roman" w:hAnsi="Times New Roman" w:cs="Times New Roman"/>
          <w:color w:val="363636"/>
          <w:sz w:val="24"/>
          <w:szCs w:val="24"/>
          <w:shd w:val="clear" w:color="auto" w:fill="FFFFFF"/>
        </w:rPr>
        <w:tab/>
        <w:t>Para além de adequada, por se revelar um meio idóneo para a prossecução dos interesses enunciados</w:t>
      </w:r>
      <w:r>
        <w:rPr>
          <w:rFonts w:ascii="Times New Roman" w:hAnsi="Times New Roman" w:cs="Times New Roman"/>
          <w:color w:val="363636"/>
          <w:sz w:val="24"/>
          <w:szCs w:val="24"/>
          <w:shd w:val="clear" w:color="auto" w:fill="FFFFFF"/>
        </w:rPr>
        <w:t>,</w:t>
      </w:r>
      <w:r w:rsidRPr="00E654E0">
        <w:rPr>
          <w:rFonts w:ascii="Times New Roman" w:hAnsi="Times New Roman" w:cs="Times New Roman"/>
          <w:color w:val="363636"/>
          <w:sz w:val="24"/>
          <w:szCs w:val="24"/>
          <w:shd w:val="clear" w:color="auto" w:fill="FFFFFF"/>
        </w:rPr>
        <w:t xml:space="preserve"> é ela também necessária</w:t>
      </w:r>
      <w:r w:rsidRPr="00E654E0">
        <w:rPr>
          <w:rFonts w:ascii="Times New Roman" w:hAnsi="Times New Roman" w:cs="Times New Roman"/>
          <w:i/>
          <w:color w:val="363636"/>
          <w:sz w:val="24"/>
          <w:szCs w:val="24"/>
          <w:shd w:val="clear" w:color="auto" w:fill="FFFFFF"/>
        </w:rPr>
        <w:t xml:space="preserve"> em virtude da mesma corresponder a um meio exigível no sentido de obter o fim da eficiência do sistema fiscal, objetivo esse que não se mostra que seria alcançável através de mecanismos alternativos que se revestiriam de excessiva onerosidade para a Administração Tributária, quer pelo dispêndio de recursos e de tempo, quer pelo risco de ineficácia, face à complexidade, dimensão e multiplicidade de atividades e situações a que têm de responder os modernos sistemas fiscais, no quadro de uma “Administração de massas”. </w:t>
      </w:r>
      <w:r w:rsidRPr="00E654E0">
        <w:rPr>
          <w:rStyle w:val="Refdenotaderodap"/>
          <w:rFonts w:ascii="Times New Roman" w:hAnsi="Times New Roman" w:cs="Times New Roman"/>
          <w:i/>
          <w:color w:val="363636"/>
          <w:sz w:val="24"/>
          <w:szCs w:val="24"/>
          <w:shd w:val="clear" w:color="auto" w:fill="FFFFFF"/>
        </w:rPr>
        <w:footnoteReference w:id="119"/>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i/>
          <w:color w:val="363636"/>
          <w:sz w:val="24"/>
          <w:szCs w:val="24"/>
          <w:shd w:val="clear" w:color="auto" w:fill="FFFFFF"/>
        </w:rPr>
        <w:tab/>
      </w:r>
      <w:r w:rsidRPr="00E654E0">
        <w:rPr>
          <w:rFonts w:ascii="Times New Roman" w:hAnsi="Times New Roman" w:cs="Times New Roman"/>
          <w:color w:val="363636"/>
          <w:sz w:val="24"/>
          <w:szCs w:val="24"/>
          <w:shd w:val="clear" w:color="auto" w:fill="FFFFFF"/>
        </w:rPr>
        <w:t>Por último, temos o princípio da proporcionalidade em sentido estrito ao impedir a adoção de medidas legais restritivas excessivas e desproporcionadas para alcançar os fins pretendidos</w:t>
      </w:r>
      <w:r w:rsidRPr="00E654E0">
        <w:rPr>
          <w:rStyle w:val="Refdenotaderodap"/>
          <w:rFonts w:ascii="Times New Roman" w:hAnsi="Times New Roman" w:cs="Times New Roman"/>
          <w:color w:val="363636"/>
          <w:sz w:val="24"/>
          <w:szCs w:val="24"/>
          <w:shd w:val="clear" w:color="auto" w:fill="FFFFFF"/>
        </w:rPr>
        <w:footnoteReference w:id="120"/>
      </w:r>
      <w:r w:rsidRPr="00E654E0">
        <w:rPr>
          <w:rFonts w:ascii="Times New Roman" w:hAnsi="Times New Roman" w:cs="Times New Roman"/>
          <w:color w:val="363636"/>
          <w:sz w:val="24"/>
          <w:szCs w:val="24"/>
          <w:shd w:val="clear" w:color="auto" w:fill="FFFFFF"/>
        </w:rPr>
        <w:t xml:space="preserve">. </w:t>
      </w:r>
    </w:p>
    <w:p w:rsidR="00036D26" w:rsidRPr="00E654E0" w:rsidRDefault="00036D26" w:rsidP="00036D26">
      <w:pPr>
        <w:spacing w:line="360" w:lineRule="auto"/>
        <w:jc w:val="both"/>
        <w:rPr>
          <w:rFonts w:ascii="Times New Roman" w:hAnsi="Times New Roman" w:cs="Times New Roman"/>
          <w:color w:val="363636"/>
          <w:sz w:val="24"/>
          <w:szCs w:val="24"/>
          <w:shd w:val="clear" w:color="auto" w:fill="FFFFFF"/>
        </w:rPr>
      </w:pPr>
      <w:r w:rsidRPr="00E654E0">
        <w:rPr>
          <w:rFonts w:ascii="Times New Roman" w:hAnsi="Times New Roman" w:cs="Times New Roman"/>
          <w:color w:val="363636"/>
          <w:sz w:val="24"/>
          <w:szCs w:val="24"/>
          <w:shd w:val="clear" w:color="auto" w:fill="FFFFFF"/>
        </w:rPr>
        <w:tab/>
        <w:t>Julgamos não ser esta uma medida excessiva, verificando-se uma adequada ponderação e restrição dos direitos e interesses em confronto</w:t>
      </w:r>
      <w:r w:rsidRPr="00E654E0">
        <w:rPr>
          <w:rStyle w:val="Refdenotaderodap"/>
          <w:rFonts w:ascii="Times New Roman" w:hAnsi="Times New Roman" w:cs="Times New Roman"/>
          <w:color w:val="363636"/>
          <w:sz w:val="24"/>
          <w:szCs w:val="24"/>
          <w:shd w:val="clear" w:color="auto" w:fill="FFFFFF"/>
        </w:rPr>
        <w:footnoteReference w:id="121"/>
      </w:r>
      <w:r w:rsidRPr="00E654E0">
        <w:rPr>
          <w:rFonts w:ascii="Times New Roman" w:hAnsi="Times New Roman" w:cs="Times New Roman"/>
          <w:color w:val="363636"/>
          <w:sz w:val="24"/>
          <w:szCs w:val="24"/>
          <w:shd w:val="clear" w:color="auto" w:fill="FFFFFF"/>
        </w:rPr>
        <w:t>.</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Ainda que não previsto na lei, por não ser a perseguição de um ilícito o objetivo do procedimento inspetivo, e </w:t>
      </w:r>
      <w:r w:rsidRPr="00E654E0">
        <w:rPr>
          <w:rFonts w:ascii="Times New Roman" w:hAnsi="Times New Roman" w:cs="Times New Roman"/>
          <w:i/>
          <w:sz w:val="24"/>
          <w:szCs w:val="24"/>
        </w:rPr>
        <w:t>apesar da absoluta necessidade de cooperação dos contribuintes nas tarefas da Administração Tributária</w:t>
      </w:r>
      <w:r w:rsidRPr="00E654E0">
        <w:rPr>
          <w:rStyle w:val="Refdenotaderodap"/>
          <w:rFonts w:ascii="Times New Roman" w:hAnsi="Times New Roman" w:cs="Times New Roman"/>
          <w:i/>
          <w:sz w:val="24"/>
          <w:szCs w:val="24"/>
        </w:rPr>
        <w:footnoteReference w:id="122"/>
      </w:r>
      <w:r w:rsidRPr="00E654E0">
        <w:rPr>
          <w:rFonts w:ascii="Times New Roman" w:hAnsi="Times New Roman" w:cs="Times New Roman"/>
          <w:sz w:val="24"/>
          <w:szCs w:val="24"/>
        </w:rPr>
        <w:t xml:space="preserve">, não é o direito à </w:t>
      </w:r>
      <w:r>
        <w:rPr>
          <w:rFonts w:ascii="Times New Roman" w:hAnsi="Times New Roman" w:cs="Times New Roman"/>
          <w:sz w:val="24"/>
          <w:szCs w:val="24"/>
        </w:rPr>
        <w:t>não autoincriminação</w:t>
      </w:r>
      <w:r w:rsidRPr="00E654E0">
        <w:rPr>
          <w:rFonts w:ascii="Times New Roman" w:hAnsi="Times New Roman" w:cs="Times New Roman"/>
          <w:sz w:val="24"/>
          <w:szCs w:val="24"/>
        </w:rPr>
        <w:t xml:space="preserve"> completamente afastado em sede de procedimento tributário. Sendo ele um direito constitucionalmente previsto e visando o respeito pela dignidade da pessoa humana, evitando a sua instrumentalização, é legítima a recusa de colaboração do contribuinte nas situações previstas nas alíneas do artigo 63.º número 5 da Lei Geral Tributária.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 alínea </w:t>
      </w:r>
      <w:r w:rsidRPr="00E654E0">
        <w:rPr>
          <w:rFonts w:ascii="Times New Roman" w:hAnsi="Times New Roman" w:cs="Times New Roman"/>
          <w:i/>
          <w:sz w:val="24"/>
          <w:szCs w:val="24"/>
        </w:rPr>
        <w:t xml:space="preserve">d) </w:t>
      </w:r>
      <w:r w:rsidRPr="00E654E0">
        <w:rPr>
          <w:rFonts w:ascii="Times New Roman" w:hAnsi="Times New Roman" w:cs="Times New Roman"/>
          <w:sz w:val="24"/>
          <w:szCs w:val="24"/>
        </w:rPr>
        <w:t>refere-se à violação dos direitos de personalidade e outros direitos, liberdades e garantias dos cidadãos, nos termos e limites previstos na Constituição e na lei. Conforme AUGUSTO SILVA DIAS e VÂNIA COSTA RAMOS</w:t>
      </w:r>
      <w:r>
        <w:rPr>
          <w:rFonts w:ascii="Times New Roman" w:hAnsi="Times New Roman" w:cs="Times New Roman"/>
          <w:sz w:val="24"/>
          <w:szCs w:val="24"/>
        </w:rPr>
        <w:t>,</w:t>
      </w:r>
      <w:r w:rsidRPr="00E654E0">
        <w:rPr>
          <w:rFonts w:ascii="Times New Roman" w:hAnsi="Times New Roman" w:cs="Times New Roman"/>
          <w:sz w:val="24"/>
          <w:szCs w:val="24"/>
        </w:rPr>
        <w:t xml:space="preserve"> entendemos que naquela alínea incluem-se as garantias de defesa do processo penal, designadamente o </w:t>
      </w:r>
      <w:r w:rsidRPr="00E654E0">
        <w:rPr>
          <w:rFonts w:ascii="Times New Roman" w:hAnsi="Times New Roman" w:cs="Times New Roman"/>
          <w:i/>
          <w:sz w:val="24"/>
          <w:szCs w:val="24"/>
        </w:rPr>
        <w:t>direito à não</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auto-inculpação</w:t>
      </w:r>
      <w:r w:rsidRPr="00E654E0">
        <w:rPr>
          <w:rFonts w:ascii="Times New Roman" w:hAnsi="Times New Roman" w:cs="Times New Roman"/>
          <w:sz w:val="24"/>
          <w:szCs w:val="24"/>
        </w:rPr>
        <w:t xml:space="preserve">, sendo aplicável o disposto na alínea </w:t>
      </w:r>
      <w:r>
        <w:rPr>
          <w:rFonts w:ascii="Times New Roman" w:hAnsi="Times New Roman" w:cs="Times New Roman"/>
          <w:i/>
          <w:sz w:val="24"/>
          <w:szCs w:val="24"/>
        </w:rPr>
        <w:t>c)</w:t>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do número 2 do artigo 117.º do Código de Procedimento Administrativo</w:t>
      </w:r>
      <w:r w:rsidRPr="00E654E0">
        <w:rPr>
          <w:rFonts w:ascii="Times New Roman" w:hAnsi="Times New Roman" w:cs="Times New Roman"/>
          <w:i/>
          <w:sz w:val="24"/>
          <w:szCs w:val="24"/>
        </w:rPr>
        <w:t>, ex vi</w:t>
      </w:r>
      <w:r w:rsidRPr="00E654E0">
        <w:rPr>
          <w:rFonts w:ascii="Times New Roman" w:hAnsi="Times New Roman" w:cs="Times New Roman"/>
          <w:sz w:val="24"/>
          <w:szCs w:val="24"/>
        </w:rPr>
        <w:t xml:space="preserve">, do artigo 2.º da Lei Geral Tributária, não sendo o contribuinte obrigado a </w:t>
      </w:r>
      <w:r w:rsidRPr="00E654E0">
        <w:rPr>
          <w:rFonts w:ascii="Times New Roman" w:hAnsi="Times New Roman" w:cs="Times New Roman"/>
          <w:i/>
          <w:sz w:val="24"/>
          <w:szCs w:val="24"/>
        </w:rPr>
        <w:t>prestar informações, apresentar documentos ou coisas, sujeitar-se a inspeções ou colaborar noutros meios de prova sempre que isso implique</w:t>
      </w:r>
      <w:r w:rsidRPr="00E654E0">
        <w:rPr>
          <w:rFonts w:ascii="Times New Roman" w:hAnsi="Times New Roman" w:cs="Times New Roman"/>
          <w:sz w:val="24"/>
          <w:szCs w:val="24"/>
        </w:rPr>
        <w:t xml:space="preserve"> a revelação de factos puníveis, praticados pelo próprio interessado, pelo seu cônjuge ou por seu ascendente ou descendente, irmão ou afim dos mesmos graus</w:t>
      </w:r>
      <w:r w:rsidRPr="00E654E0">
        <w:rPr>
          <w:rStyle w:val="Refdenotaderodap"/>
          <w:rFonts w:ascii="Times New Roman" w:hAnsi="Times New Roman" w:cs="Times New Roman"/>
          <w:sz w:val="24"/>
          <w:szCs w:val="24"/>
        </w:rPr>
        <w:footnoteReference w:id="123"/>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Naquelas situações e por aplicação do artigo 63.º número 6, as diligências só poderão ser realizadas mediante autorização concedida pelo tribunal com base em pedido fundamentado da Administração Tributária.</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 xml:space="preserve">Esta solução não leva à ineficácia dos deveres de colaboração, podendo ser suscitada arbitrariamente pelo contribuinte sujeito a uma inspeção, a sua eficácia depende de prévia apreciação pelo tribunal, a quem compete decidir se </w:t>
      </w:r>
      <w:r w:rsidRPr="00E654E0">
        <w:rPr>
          <w:rFonts w:ascii="Times New Roman" w:hAnsi="Times New Roman" w:cs="Times New Roman"/>
          <w:i/>
          <w:sz w:val="24"/>
          <w:szCs w:val="24"/>
        </w:rPr>
        <w:t>prevalece o direito à não auto-inculpação ou o interesse público que se pretende prosseguir com a instituição dos deveres de cooperação</w:t>
      </w:r>
      <w:r w:rsidRPr="00E654E0">
        <w:rPr>
          <w:rStyle w:val="Refdenotaderodap"/>
          <w:rFonts w:ascii="Times New Roman" w:hAnsi="Times New Roman" w:cs="Times New Roman"/>
          <w:i/>
          <w:sz w:val="24"/>
          <w:szCs w:val="24"/>
        </w:rPr>
        <w:footnoteReference w:id="124"/>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Citando o acórdão do Tribunal Constitucional n.º 340/2013, de 17 de junho, </w:t>
      </w:r>
      <w:r w:rsidRPr="00E654E0">
        <w:rPr>
          <w:rFonts w:ascii="Times New Roman" w:hAnsi="Times New Roman" w:cs="Times New Roman"/>
          <w:i/>
          <w:sz w:val="24"/>
          <w:szCs w:val="24"/>
        </w:rPr>
        <w:t>nas situações previstas no artigo 63.º número 5, o contribuinte não está colocado, pura e simplesmente, perante uma alternativa de cumprir o dever de colaboração, dando lugar a que Administração Tributária venha a obter, à sua custa, a prova que sustenta a acusação por crime fiscal, ou de recusar a colaboração, sujeitando-se a ser sancionado com a aplicação da correspondente pena ou coima por essa falta de colaboração, podendo legitimamente recusá-la, nos casos e termos acima referidos</w:t>
      </w:r>
      <w:r w:rsidRPr="00E654E0">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Todos os restantes documentos, </w:t>
      </w:r>
      <w:r w:rsidRPr="00E654E0">
        <w:rPr>
          <w:rFonts w:ascii="Times New Roman" w:hAnsi="Times New Roman" w:cs="Times New Roman"/>
          <w:i/>
          <w:sz w:val="24"/>
          <w:szCs w:val="24"/>
        </w:rPr>
        <w:t>documentos de contabilidade que acreditam a situação económica e financeira do contribuinte, situação que é preciso exibir para tornar possível o cumprimento da obrigação tributária e posterior inspeção</w:t>
      </w:r>
      <w:r w:rsidRPr="00E654E0">
        <w:rPr>
          <w:rFonts w:ascii="Times New Roman" w:hAnsi="Times New Roman" w:cs="Times New Roman"/>
          <w:sz w:val="24"/>
          <w:szCs w:val="24"/>
        </w:rPr>
        <w:t xml:space="preserve">, a sua </w:t>
      </w:r>
      <w:r w:rsidRPr="00E654E0">
        <w:rPr>
          <w:rFonts w:ascii="Times New Roman" w:hAnsi="Times New Roman" w:cs="Times New Roman"/>
          <w:i/>
          <w:sz w:val="24"/>
          <w:szCs w:val="24"/>
        </w:rPr>
        <w:t xml:space="preserve">entrega ou exibição não exterioriza </w:t>
      </w:r>
      <w:r w:rsidRPr="00E654E0">
        <w:rPr>
          <w:rFonts w:ascii="Times New Roman" w:hAnsi="Times New Roman" w:cs="Times New Roman"/>
          <w:sz w:val="24"/>
          <w:szCs w:val="24"/>
        </w:rPr>
        <w:t>ou visa exteriorizar</w:t>
      </w:r>
      <w:r w:rsidRPr="00E654E0">
        <w:rPr>
          <w:rFonts w:ascii="Times New Roman" w:hAnsi="Times New Roman" w:cs="Times New Roman"/>
          <w:i/>
          <w:sz w:val="24"/>
          <w:szCs w:val="24"/>
        </w:rPr>
        <w:t xml:space="preserve"> um conteúdo admitindo a sua culpabilidade</w:t>
      </w:r>
      <w:r w:rsidRPr="00E654E0">
        <w:rPr>
          <w:rFonts w:ascii="Times New Roman" w:hAnsi="Times New Roman" w:cs="Times New Roman"/>
          <w:sz w:val="24"/>
          <w:szCs w:val="24"/>
        </w:rPr>
        <w:t>, mas tão-só o cumprimento, pela Administração Tributária, das finalidades do Estado Social</w:t>
      </w:r>
      <w:r w:rsidRPr="00E654E0">
        <w:rPr>
          <w:rStyle w:val="Refdenotaderodap"/>
          <w:rFonts w:ascii="Times New Roman" w:hAnsi="Times New Roman" w:cs="Times New Roman"/>
          <w:sz w:val="24"/>
          <w:szCs w:val="24"/>
        </w:rPr>
        <w:footnoteReference w:id="125"/>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 xml:space="preserve">Não abrangidas por aquela admissibilidade ficam as declarações prestadas pelo contribuinte – </w:t>
      </w:r>
      <w:r w:rsidRPr="00E654E0">
        <w:rPr>
          <w:rFonts w:ascii="Times New Roman" w:hAnsi="Times New Roman" w:cs="Times New Roman"/>
          <w:i/>
          <w:sz w:val="24"/>
          <w:szCs w:val="24"/>
        </w:rPr>
        <w:t xml:space="preserve">declarações pessoais – </w:t>
      </w:r>
      <w:r w:rsidRPr="00E654E0">
        <w:rPr>
          <w:rFonts w:ascii="Times New Roman" w:hAnsi="Times New Roman" w:cs="Times New Roman"/>
          <w:sz w:val="24"/>
          <w:szCs w:val="24"/>
        </w:rPr>
        <w:t>e os documentos não obrigatórios – documentos dispensáveis para a determinação da matéria tributável e montante do tributo</w:t>
      </w:r>
      <w:r w:rsidRPr="00E654E0">
        <w:rPr>
          <w:rFonts w:ascii="Times New Roman" w:hAnsi="Times New Roman" w:cs="Times New Roman"/>
          <w:i/>
          <w:sz w:val="24"/>
          <w:szCs w:val="24"/>
        </w:rPr>
        <w:t xml:space="preserve"> e cuja existência esteja dependente da vontade da pessoa</w:t>
      </w:r>
      <w:r w:rsidRPr="00E654E0">
        <w:rPr>
          <w:rStyle w:val="Refdenotaderodap"/>
          <w:rFonts w:ascii="Times New Roman" w:hAnsi="Times New Roman" w:cs="Times New Roman"/>
          <w:i/>
          <w:sz w:val="24"/>
          <w:szCs w:val="24"/>
        </w:rPr>
        <w:footnoteReference w:id="126"/>
      </w:r>
      <w:r w:rsidRPr="00E654E0">
        <w:rPr>
          <w:rFonts w:ascii="Times New Roman" w:hAnsi="Times New Roman" w:cs="Times New Roman"/>
          <w:i/>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Verificados os requisitos do princípio da legalidade e da proporcionalidade, resta-nos decidir pela não inconstitucionalidade da imposição de um dever de colaboração aos contribuintes para determinação da sua matéria tributável e consequente tributo. </w:t>
      </w: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i/>
          <w:sz w:val="24"/>
          <w:szCs w:val="24"/>
        </w:rPr>
        <w:t>- Legalidade da prova em processo criminal</w:t>
      </w:r>
    </w:p>
    <w:p w:rsidR="00036D26" w:rsidRPr="00E654E0" w:rsidRDefault="00036D26" w:rsidP="00036D26">
      <w:pPr>
        <w:spacing w:line="360" w:lineRule="auto"/>
        <w:ind w:firstLine="708"/>
        <w:jc w:val="both"/>
        <w:rPr>
          <w:rFonts w:ascii="Times New Roman" w:hAnsi="Times New Roman" w:cs="Times New Roman"/>
          <w:i/>
          <w:sz w:val="24"/>
          <w:szCs w:val="24"/>
        </w:rPr>
      </w:pPr>
      <w:r w:rsidRPr="00E654E0">
        <w:rPr>
          <w:rFonts w:ascii="Times New Roman" w:hAnsi="Times New Roman" w:cs="Times New Roman"/>
          <w:sz w:val="24"/>
          <w:szCs w:val="24"/>
        </w:rPr>
        <w:t>Exposto o tema das presunções e determinada a não inconstitucionalidade da imposição de um conjunto de obriga</w:t>
      </w:r>
      <w:r>
        <w:rPr>
          <w:rFonts w:ascii="Times New Roman" w:hAnsi="Times New Roman" w:cs="Times New Roman"/>
          <w:sz w:val="24"/>
          <w:szCs w:val="24"/>
        </w:rPr>
        <w:t>ções acessórias ao contribuinte</w:t>
      </w:r>
      <w:r w:rsidRPr="00E654E0">
        <w:rPr>
          <w:rFonts w:ascii="Times New Roman" w:hAnsi="Times New Roman" w:cs="Times New Roman"/>
          <w:sz w:val="24"/>
          <w:szCs w:val="24"/>
        </w:rPr>
        <w:t xml:space="preserve"> para determinação do seu rendimento real, resta-nos agora verificar da admissibilidade ou não em processo penal das provas produz</w:t>
      </w:r>
      <w:r>
        <w:rPr>
          <w:rFonts w:ascii="Times New Roman" w:hAnsi="Times New Roman" w:cs="Times New Roman"/>
          <w:sz w:val="24"/>
          <w:szCs w:val="24"/>
        </w:rPr>
        <w:t>idas no procedimento tributário</w:t>
      </w:r>
      <w:r w:rsidRPr="00E654E0">
        <w:rPr>
          <w:rFonts w:ascii="Times New Roman" w:hAnsi="Times New Roman" w:cs="Times New Roman"/>
          <w:sz w:val="24"/>
          <w:szCs w:val="24"/>
        </w:rPr>
        <w:t>, para fundamentar a acusação ou condenação do arguido por um crime fiscal.</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No processo penal português a prova e o seus meios de obtenção não estão subordinados ao princípio da taxatividade, são admissíveis todas as provas que não forem proibidas por lei. Encontramos no artigo 125.º do Código de Processo Penal uma </w:t>
      </w:r>
      <w:r w:rsidRPr="00E654E0">
        <w:rPr>
          <w:rFonts w:ascii="Times New Roman" w:hAnsi="Times New Roman" w:cs="Times New Roman"/>
          <w:i/>
          <w:sz w:val="24"/>
          <w:szCs w:val="24"/>
        </w:rPr>
        <w:t>regra geral de admissibilidade das provas</w:t>
      </w:r>
      <w:r w:rsidRPr="00E654E0">
        <w:rPr>
          <w:rFonts w:ascii="Times New Roman" w:hAnsi="Times New Roman" w:cs="Times New Roman"/>
          <w:sz w:val="24"/>
          <w:szCs w:val="24"/>
        </w:rPr>
        <w:t xml:space="preserve">, tudo o que não for </w:t>
      </w:r>
      <w:r w:rsidRPr="00E654E0">
        <w:rPr>
          <w:rFonts w:ascii="Times New Roman" w:hAnsi="Times New Roman" w:cs="Times New Roman"/>
          <w:i/>
          <w:sz w:val="24"/>
          <w:szCs w:val="24"/>
        </w:rPr>
        <w:t>expressa e legalmente proibido, é permitido</w:t>
      </w:r>
      <w:r w:rsidRPr="00E654E0">
        <w:rPr>
          <w:rStyle w:val="Refdenotaderodap"/>
          <w:rFonts w:ascii="Times New Roman" w:hAnsi="Times New Roman" w:cs="Times New Roman"/>
          <w:i/>
          <w:sz w:val="24"/>
          <w:szCs w:val="24"/>
        </w:rPr>
        <w:footnoteReference w:id="127"/>
      </w:r>
      <w:r w:rsidRPr="00E654E0">
        <w:rPr>
          <w:rFonts w:ascii="Times New Roman" w:hAnsi="Times New Roman" w:cs="Times New Roman"/>
          <w:sz w:val="24"/>
          <w:szCs w:val="24"/>
        </w:rPr>
        <w:t xml:space="preserve"> verificados os limites constitucionais e legais do artigo 126.º do Código de Processo Penal</w:t>
      </w:r>
      <w:r w:rsidRPr="00E654E0">
        <w:rPr>
          <w:rStyle w:val="Refdenotaderodap"/>
          <w:rFonts w:ascii="Times New Roman" w:hAnsi="Times New Roman" w:cs="Times New Roman"/>
          <w:sz w:val="24"/>
          <w:szCs w:val="24"/>
        </w:rPr>
        <w:footnoteReference w:id="128"/>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O artigo 126.º dispõe que são métodos proibidos de prova todos aqueles que ofendam a integridade física ou moral das pessoas e ainda aqueles que impliquem uma intromissão na sua vida privada. Enquanto os primeiros compreendem uma nulidade insanável – </w:t>
      </w:r>
      <w:r w:rsidRPr="00E654E0">
        <w:rPr>
          <w:rFonts w:ascii="Times New Roman" w:hAnsi="Times New Roman" w:cs="Times New Roman"/>
          <w:i/>
          <w:sz w:val="24"/>
          <w:szCs w:val="24"/>
        </w:rPr>
        <w:t>nulidades absolutas de prova</w:t>
      </w:r>
      <w:r w:rsidRPr="00E654E0">
        <w:rPr>
          <w:rFonts w:ascii="Times New Roman" w:hAnsi="Times New Roman" w:cs="Times New Roman"/>
          <w:sz w:val="24"/>
          <w:szCs w:val="24"/>
        </w:rPr>
        <w:t xml:space="preserve"> -, proibidos ainda que haja consentimento do titular do direito, e de conhecimento oficioso ou a requerimento, os segundos, enquanto </w:t>
      </w:r>
      <w:r w:rsidRPr="00E654E0">
        <w:rPr>
          <w:rFonts w:ascii="Times New Roman" w:hAnsi="Times New Roman" w:cs="Times New Roman"/>
          <w:i/>
          <w:sz w:val="24"/>
          <w:szCs w:val="24"/>
        </w:rPr>
        <w:t>nulidades relativas de prova</w:t>
      </w:r>
      <w:r w:rsidRPr="00E654E0">
        <w:rPr>
          <w:rFonts w:ascii="Times New Roman" w:hAnsi="Times New Roman" w:cs="Times New Roman"/>
          <w:sz w:val="24"/>
          <w:szCs w:val="24"/>
        </w:rPr>
        <w:t>, a sua nulidade pode ser sanável mediante o consentimento do sujeito em relação ao qual se verificou a intromissão legal e são conhecidos apenas a requerimento do titular do direito infringido</w:t>
      </w:r>
      <w:r w:rsidRPr="00E654E0">
        <w:rPr>
          <w:rStyle w:val="Refdenotaderodap"/>
          <w:rFonts w:ascii="Times New Roman" w:hAnsi="Times New Roman" w:cs="Times New Roman"/>
          <w:sz w:val="24"/>
          <w:szCs w:val="24"/>
        </w:rPr>
        <w:footnoteReference w:id="129"/>
      </w:r>
      <w:r w:rsidRPr="00E654E0">
        <w:rPr>
          <w:rFonts w:ascii="Times New Roman" w:hAnsi="Times New Roman" w:cs="Times New Roman"/>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São objeto de prova todos os factos juridicamente relevantes para a descoberta da verdade</w:t>
      </w:r>
      <w:r w:rsidRPr="00E654E0">
        <w:rPr>
          <w:rStyle w:val="Refdenotaderodap"/>
          <w:rFonts w:ascii="Times New Roman" w:hAnsi="Times New Roman" w:cs="Times New Roman"/>
          <w:sz w:val="24"/>
          <w:szCs w:val="24"/>
        </w:rPr>
        <w:footnoteReference w:id="130"/>
      </w:r>
      <w:r w:rsidRPr="00E654E0">
        <w:rPr>
          <w:rFonts w:ascii="Times New Roman" w:hAnsi="Times New Roman" w:cs="Times New Roman"/>
          <w:sz w:val="24"/>
          <w:szCs w:val="24"/>
        </w:rPr>
        <w:t xml:space="preserve">, sejam eles </w:t>
      </w:r>
      <w:r w:rsidRPr="00E654E0">
        <w:rPr>
          <w:rFonts w:ascii="Times New Roman" w:hAnsi="Times New Roman" w:cs="Times New Roman"/>
          <w:i/>
          <w:sz w:val="24"/>
          <w:szCs w:val="24"/>
        </w:rPr>
        <w:t xml:space="preserve">instrumentos de verificação direta dos factos ocorridos, referentes ao próprio tema da prova </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 xml:space="preserve">prova direta – </w:t>
      </w:r>
      <w:r w:rsidRPr="00E654E0">
        <w:rPr>
          <w:rFonts w:ascii="Times New Roman" w:hAnsi="Times New Roman" w:cs="Times New Roman"/>
          <w:sz w:val="24"/>
          <w:szCs w:val="24"/>
        </w:rPr>
        <w:t xml:space="preserve">ou presunções, </w:t>
      </w:r>
      <w:r w:rsidRPr="00E654E0">
        <w:rPr>
          <w:rFonts w:ascii="Times New Roman" w:hAnsi="Times New Roman" w:cs="Times New Roman"/>
          <w:i/>
          <w:sz w:val="24"/>
          <w:szCs w:val="24"/>
        </w:rPr>
        <w:t>estabelecendo-se uma ligação entre aquilo que temos por adquirido e aquilo que as regras da experiência nos ensinam poder inferir, referentes a factos diversos do tema da prova - prova indireta</w:t>
      </w:r>
      <w:r w:rsidRPr="00E654E0">
        <w:rPr>
          <w:rStyle w:val="Refdenotaderodap"/>
          <w:rFonts w:ascii="Times New Roman" w:hAnsi="Times New Roman" w:cs="Times New Roman"/>
          <w:i/>
          <w:sz w:val="24"/>
          <w:szCs w:val="24"/>
        </w:rPr>
        <w:footnoteReference w:id="131"/>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i/>
          <w:sz w:val="24"/>
          <w:szCs w:val="24"/>
        </w:rPr>
      </w:pPr>
      <w:r w:rsidRPr="00E654E0">
        <w:rPr>
          <w:rFonts w:ascii="Times New Roman" w:hAnsi="Times New Roman" w:cs="Times New Roman"/>
          <w:sz w:val="24"/>
          <w:szCs w:val="24"/>
        </w:rPr>
        <w:tab/>
        <w:t xml:space="preserve">Quanto aos elementos de prova recolhidos no âmbito de um procedimento tributário, inserido numa fase administrativa, não podemos concluir de outro modo que não pela sua admissibilidade, </w:t>
      </w:r>
      <w:r w:rsidRPr="00E654E0">
        <w:rPr>
          <w:rFonts w:ascii="Times New Roman" w:hAnsi="Times New Roman" w:cs="Times New Roman"/>
          <w:i/>
          <w:sz w:val="24"/>
          <w:szCs w:val="24"/>
        </w:rPr>
        <w:t xml:space="preserve">todos os elementos recolhidos legalmente podem posteriormente constituir elementos de prova no processo criminal, </w:t>
      </w:r>
      <w:r w:rsidRPr="00E654E0">
        <w:rPr>
          <w:rFonts w:ascii="Times New Roman" w:hAnsi="Times New Roman" w:cs="Times New Roman"/>
          <w:sz w:val="24"/>
          <w:szCs w:val="24"/>
        </w:rPr>
        <w:t xml:space="preserve">não são eles </w:t>
      </w:r>
      <w:r w:rsidRPr="00E654E0">
        <w:rPr>
          <w:rFonts w:ascii="Times New Roman" w:hAnsi="Times New Roman" w:cs="Times New Roman"/>
          <w:i/>
          <w:sz w:val="24"/>
          <w:szCs w:val="24"/>
        </w:rPr>
        <w:t>provas proibidas e foram obtidas no exercício legal de uma inspeção tributária, com respeito pelas respetivas normas</w:t>
      </w:r>
      <w:r w:rsidRPr="00E654E0">
        <w:rPr>
          <w:rStyle w:val="Refdenotaderodap"/>
          <w:rFonts w:ascii="Times New Roman" w:hAnsi="Times New Roman" w:cs="Times New Roman"/>
          <w:i/>
          <w:sz w:val="24"/>
          <w:szCs w:val="24"/>
        </w:rPr>
        <w:footnoteReference w:id="132"/>
      </w:r>
      <w:r w:rsidRPr="00E654E0">
        <w:rPr>
          <w:rFonts w:ascii="Times New Roman" w:hAnsi="Times New Roman" w:cs="Times New Roman"/>
          <w:i/>
          <w:sz w:val="24"/>
          <w:szCs w:val="24"/>
        </w:rPr>
        <w:t>.</w:t>
      </w:r>
      <w:r w:rsidRPr="00E654E0">
        <w:rPr>
          <w:rFonts w:ascii="Times New Roman" w:hAnsi="Times New Roman" w:cs="Times New Roman"/>
          <w:sz w:val="24"/>
          <w:szCs w:val="24"/>
        </w:rPr>
        <w:t xml:space="preserve"> A utilização em processo sancionatório dos documentos obtidos em procedimento tributário </w:t>
      </w:r>
      <w:r w:rsidRPr="00E654E0">
        <w:rPr>
          <w:rFonts w:ascii="Times New Roman" w:hAnsi="Times New Roman" w:cs="Times New Roman"/>
          <w:i/>
          <w:sz w:val="24"/>
          <w:szCs w:val="24"/>
        </w:rPr>
        <w:t>não constitui uma violação do princípio da proibição da autoincriminação, antes conforma uma restrição a este direito prevista na lei e permitida pela Constituição</w:t>
      </w:r>
      <w:r w:rsidRPr="00E654E0">
        <w:rPr>
          <w:rStyle w:val="Refdenotaderodap"/>
          <w:rFonts w:ascii="Times New Roman" w:hAnsi="Times New Roman" w:cs="Times New Roman"/>
          <w:i/>
          <w:sz w:val="24"/>
          <w:szCs w:val="24"/>
        </w:rPr>
        <w:footnoteReference w:id="133"/>
      </w:r>
      <w:r w:rsidRPr="00E654E0">
        <w:rPr>
          <w:rFonts w:ascii="Times New Roman" w:hAnsi="Times New Roman" w:cs="Times New Roman"/>
          <w:i/>
          <w:sz w:val="24"/>
          <w:szCs w:val="24"/>
        </w:rPr>
        <w:t>.</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Sendo a avaliação indireta um método presuntivo e a verdade material a que muitas vezes se chega ser uma verdade material aproximada, os elementos recolhidos e posteriormente utilizados em processo penal, diversas vezes terão a natureza de presunções, provas indiretas.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As presunções são um meio de prova previsto no artigo 349.º do Código Civil, </w:t>
      </w:r>
      <w:r w:rsidRPr="00E654E0">
        <w:rPr>
          <w:rFonts w:ascii="Times New Roman" w:hAnsi="Times New Roman" w:cs="Times New Roman"/>
          <w:i/>
          <w:sz w:val="24"/>
          <w:szCs w:val="24"/>
        </w:rPr>
        <w:t>não sendo a sua relevância afastada no processo penal, por qualquer disposição legal, constituirão meios de prova permitidos dentro do princípio geral do artigo 125.º do Código de Processo Penal</w:t>
      </w:r>
      <w:r w:rsidRPr="00E654E0">
        <w:rPr>
          <w:rFonts w:ascii="Times New Roman" w:hAnsi="Times New Roman" w:cs="Times New Roman"/>
          <w:sz w:val="24"/>
          <w:szCs w:val="24"/>
        </w:rPr>
        <w:t>, sendo apreciadas segundo as regras da experiência e a livre convicção da entidade competente – artigo 127.º do Código de Processo Penal</w:t>
      </w:r>
      <w:r w:rsidRPr="00E654E0">
        <w:rPr>
          <w:rStyle w:val="Refdenotaderodap"/>
          <w:rFonts w:ascii="Times New Roman" w:hAnsi="Times New Roman" w:cs="Times New Roman"/>
          <w:sz w:val="24"/>
          <w:szCs w:val="24"/>
        </w:rPr>
        <w:footnoteReference w:id="134"/>
      </w:r>
      <w:r w:rsidRPr="00E654E0">
        <w:rPr>
          <w:rFonts w:ascii="Times New Roman" w:hAnsi="Times New Roman" w:cs="Times New Roman"/>
          <w:sz w:val="24"/>
          <w:szCs w:val="24"/>
        </w:rPr>
        <w:t xml:space="preserve">.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Default="00036D26" w:rsidP="00036D26">
      <w:pPr>
        <w:spacing w:line="360" w:lineRule="auto"/>
        <w:jc w:val="both"/>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p>
    <w:p w:rsidR="00036D26" w:rsidRPr="00E654E0" w:rsidRDefault="00036D26" w:rsidP="00036D26">
      <w:pPr>
        <w:pStyle w:val="Cabealho1"/>
        <w:spacing w:line="360" w:lineRule="auto"/>
        <w:ind w:firstLine="708"/>
        <w:jc w:val="both"/>
        <w:rPr>
          <w:rFonts w:ascii="Times New Roman" w:hAnsi="Times New Roman" w:cs="Times New Roman"/>
          <w:color w:val="auto"/>
          <w:sz w:val="24"/>
          <w:szCs w:val="24"/>
        </w:rPr>
      </w:pPr>
      <w:bookmarkStart w:id="10" w:name="_Toc483610335"/>
      <w:r w:rsidRPr="00E654E0">
        <w:rPr>
          <w:rFonts w:ascii="Times New Roman" w:hAnsi="Times New Roman" w:cs="Times New Roman"/>
          <w:color w:val="auto"/>
          <w:sz w:val="24"/>
          <w:szCs w:val="24"/>
        </w:rPr>
        <w:t>CONCLUSÃO</w:t>
      </w:r>
      <w:bookmarkEnd w:id="10"/>
    </w:p>
    <w:p w:rsidR="00036D26" w:rsidRPr="00E654E0" w:rsidRDefault="00036D26" w:rsidP="00036D26">
      <w:pPr>
        <w:spacing w:line="360" w:lineRule="auto"/>
        <w:rPr>
          <w:rFonts w:ascii="Times New Roman" w:hAnsi="Times New Roman" w:cs="Times New Roman"/>
          <w:sz w:val="24"/>
          <w:szCs w:val="24"/>
        </w:rPr>
      </w:pP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b/>
          <w:sz w:val="24"/>
          <w:szCs w:val="24"/>
        </w:rPr>
        <w:tab/>
      </w:r>
      <w:r w:rsidRPr="00E654E0">
        <w:rPr>
          <w:rFonts w:ascii="Times New Roman" w:hAnsi="Times New Roman" w:cs="Times New Roman"/>
          <w:sz w:val="24"/>
          <w:szCs w:val="24"/>
        </w:rPr>
        <w:t xml:space="preserve">Verificámos, com as crises dos últimos anos, que ao não contribuirmos todos na medida da nossa capacidade contributiva para a criação e manutenção dos bens públicos, acabamos todos por contribuir um pouco mais que àquilo que era suposto.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sociedade ao aperceber-se daquela realidade e das consequências devastadoras da fuga ao fisco, não só a nível público, mas também privado, começou a reclamar uma atuação mais intrusiva e eficaz, não só da Administração Tributária, através da prossecução do interesse público e da igualdade tributária, mas também da própria justiça criminal, que não poderia continuar a deixar estes crimes livres de consequências por falta de provas físicas, ainda que manifesta a existência de um ilícito.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 xml:space="preserve">A avaliação indireta, ainda que sendo um método presuntivo, incapaz de revelar a situação financeira real do contribuinte, é aquele que permite, nas situações que a declaração de rendimentos do sujeito passivo revela erros ou omissões e que falte a sua colaboração para o esclarecimento dos factos, a prossecução do interesse público, da justiça tributária e o combate à evasão fiscal.  </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 imperfeição da avaliação indireta, com todas as suas caraterísticas e constrangimentos para os particulares, é um mal menor quando comparado com as consequências devastadoras para a sociedade do incumprimento das obrigações fiscais.</w:t>
      </w:r>
    </w:p>
    <w:p w:rsidR="00036D26" w:rsidRPr="00E654E0" w:rsidRDefault="00036D26" w:rsidP="00036D26">
      <w:pPr>
        <w:spacing w:line="360" w:lineRule="auto"/>
        <w:jc w:val="both"/>
        <w:rPr>
          <w:rFonts w:ascii="Times New Roman" w:hAnsi="Times New Roman" w:cs="Times New Roman"/>
          <w:sz w:val="24"/>
          <w:szCs w:val="24"/>
        </w:rPr>
      </w:pPr>
      <w:r w:rsidRPr="00E654E0">
        <w:rPr>
          <w:rFonts w:ascii="Times New Roman" w:hAnsi="Times New Roman" w:cs="Times New Roman"/>
          <w:sz w:val="24"/>
          <w:szCs w:val="24"/>
        </w:rPr>
        <w:tab/>
        <w:t>Afirmámos que a comunicação ao Ministério Público do recurso a métodos indiretos para determinação da matéria c</w:t>
      </w:r>
      <w:r>
        <w:rPr>
          <w:rFonts w:ascii="Times New Roman" w:hAnsi="Times New Roman" w:cs="Times New Roman"/>
          <w:sz w:val="24"/>
          <w:szCs w:val="24"/>
        </w:rPr>
        <w:t>oletável</w:t>
      </w:r>
      <w:r w:rsidRPr="00E654E0">
        <w:rPr>
          <w:rFonts w:ascii="Times New Roman" w:hAnsi="Times New Roman" w:cs="Times New Roman"/>
          <w:sz w:val="24"/>
          <w:szCs w:val="24"/>
        </w:rPr>
        <w:t xml:space="preserve"> não deve assumir carácter de regra. Deve essa comunicação fazer-se apenas nos casos em que se verifique efetivamente indícios da prática de um crime fiscal ou nos casos do artigo 89.º-A da Lei Geral Tributária, em que a desproporção é tal, que não conseguindo o contribuinte esclarecer a origem do seu património, justifica-se a investigação pelo Ministério Público, auxiliado pelos órgãos da Administração Tributária, da legalidade da situação.</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Ao finalizar a nossa exposição, tratamos das consequências penais, agora não a nível formal, mas sim material, da determinação da matéria coletável por métodos indiretos.</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 A imposição de um dever de colaboração ao sujeito passivo é uma consequência necessária das próprias características do método presuntivo. Não havendo aquela cooperação entre o contribuinte e a Administração Tributária, revelar-se-ia impossível a quantificação da obrigação fiscal.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O direito à não autoincriminação, ainda que constitucionalmente previsto no artigo 32.º número 2 da Constituição da República Portuguesa, verificámos que não é ele um direito absoluto. Preenchidos os requisitos do princípio da legalidade e da proporcionalidade, é admissível a sua restrição para defesa de outros valo</w:t>
      </w:r>
      <w:r>
        <w:rPr>
          <w:rFonts w:ascii="Times New Roman" w:hAnsi="Times New Roman" w:cs="Times New Roman"/>
          <w:sz w:val="24"/>
          <w:szCs w:val="24"/>
        </w:rPr>
        <w:t>res e interesses fundamentais</w:t>
      </w:r>
      <w:r w:rsidRPr="00E654E0">
        <w:rPr>
          <w:rFonts w:ascii="Times New Roman" w:hAnsi="Times New Roman" w:cs="Times New Roman"/>
          <w:sz w:val="24"/>
          <w:szCs w:val="24"/>
        </w:rPr>
        <w:t xml:space="preserve">.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Foi isso que se sucedeu no procedimento tributário. Não se procurou aniquilar sem mais o direito à não autoincriminação, uma das mais importantes garantias de defesa do nosso processo criminal, procedeu-se apenas a uma harmonização entre esse direito e as necessidades de que reclama o Estado Social e a própria comunidade, a contribuição de todos para os bens públicos na medida da sua capacidade contributiva.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A limitação daquele direito não procurou deixar o contribuinte completamente desprotegido de possíveis atuações abusivas da Administração Tributária. A recolha de elementos indiciadores da prática de um crime fiscal no decorrer de um procedimento tributário, impõe a sua comunicação imediata ao órgão da Administração Tributária com competência delegada para o inquérito. O seguimento do procedimento, com vista à recolha de mais meios de prova para o processo criminal, tem como consequência necessária a inadmissibilidade desses documentos ou outros elementos em fase de inquérito – artigo 126.º número 2 alínea </w:t>
      </w:r>
      <w:r w:rsidRPr="00E03526">
        <w:rPr>
          <w:rFonts w:ascii="Times New Roman" w:hAnsi="Times New Roman" w:cs="Times New Roman"/>
          <w:i/>
          <w:sz w:val="24"/>
          <w:szCs w:val="24"/>
        </w:rPr>
        <w:t>a)</w:t>
      </w:r>
      <w:r w:rsidRPr="00E654E0">
        <w:rPr>
          <w:rFonts w:ascii="Times New Roman" w:hAnsi="Times New Roman" w:cs="Times New Roman"/>
          <w:sz w:val="24"/>
          <w:szCs w:val="24"/>
        </w:rPr>
        <w:t xml:space="preserve"> do Código de Processo Penal. Outro mecanismo de defesa ao dispor do sujeito passivo, é a possibilidade de suscitar a sua constituição como arguido quando estiverem a ser efetuadas diligências destinadas a comprovar a suspeita da prática de um crime – artigo 59.º número 2 do Código de Processo Penal.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A legalidade da restrição do direito à não autoincriminação</w:t>
      </w:r>
      <w:r w:rsidRPr="00E654E0">
        <w:rPr>
          <w:rFonts w:ascii="Times New Roman" w:hAnsi="Times New Roman" w:cs="Times New Roman"/>
          <w:i/>
          <w:sz w:val="24"/>
          <w:szCs w:val="24"/>
        </w:rPr>
        <w:t xml:space="preserve"> </w:t>
      </w:r>
      <w:r w:rsidRPr="00E654E0">
        <w:rPr>
          <w:rFonts w:ascii="Times New Roman" w:hAnsi="Times New Roman" w:cs="Times New Roman"/>
          <w:sz w:val="24"/>
          <w:szCs w:val="24"/>
        </w:rPr>
        <w:t xml:space="preserve">– </w:t>
      </w:r>
      <w:r w:rsidRPr="00E654E0">
        <w:rPr>
          <w:rFonts w:ascii="Times New Roman" w:hAnsi="Times New Roman" w:cs="Times New Roman"/>
          <w:i/>
          <w:sz w:val="24"/>
          <w:szCs w:val="24"/>
        </w:rPr>
        <w:t xml:space="preserve">nemu tenetur se ipsum accusare -, </w:t>
      </w:r>
      <w:r w:rsidRPr="00E654E0">
        <w:rPr>
          <w:rFonts w:ascii="Times New Roman" w:hAnsi="Times New Roman" w:cs="Times New Roman"/>
          <w:sz w:val="24"/>
          <w:szCs w:val="24"/>
        </w:rPr>
        <w:t>resulta ainda do dever que incide sobre as entidades públicas de cooperação para a prossecução do interesse superior do Estado que é a investigação criminal, permitindo-se, deste modo</w:t>
      </w:r>
      <w:r>
        <w:rPr>
          <w:rFonts w:ascii="Times New Roman" w:hAnsi="Times New Roman" w:cs="Times New Roman"/>
          <w:sz w:val="24"/>
          <w:szCs w:val="24"/>
        </w:rPr>
        <w:t>,</w:t>
      </w:r>
      <w:r w:rsidRPr="00E654E0">
        <w:rPr>
          <w:rFonts w:ascii="Times New Roman" w:hAnsi="Times New Roman" w:cs="Times New Roman"/>
          <w:sz w:val="24"/>
          <w:szCs w:val="24"/>
        </w:rPr>
        <w:t xml:space="preserve"> a transmissão de documentos do procedimento tributário para o processo criminal – artigo 381.º do Código Penal.</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Para além de legal a restrição, porque resulta de previsão prévia legal e expressa, com caráter geral e abstrato, entendemos também ela ser proporcional, por verificados os princípios da adequação, exigibilidade e proporcionalidade em sentido estrito. A imposição de um dever mútuo de colaboração entre a Administração Tributária e o contribuinte, é um meio adequado à prossecução dos interesses fundamentais do Estado, é um meio necessário para o correto funcionamento do sistema fiscal português e é também ele o meio menos oneroso para a Administração Tributária e para a sociedade. Por último, não se considera ser aquela uma medida exagerada ou desproporcional, porque p</w:t>
      </w:r>
      <w:r>
        <w:rPr>
          <w:rFonts w:ascii="Times New Roman" w:hAnsi="Times New Roman" w:cs="Times New Roman"/>
          <w:sz w:val="24"/>
          <w:szCs w:val="24"/>
        </w:rPr>
        <w:t>ermite ainda ao sujeito passivo</w:t>
      </w:r>
      <w:r w:rsidRPr="00E654E0">
        <w:rPr>
          <w:rFonts w:ascii="Times New Roman" w:hAnsi="Times New Roman" w:cs="Times New Roman"/>
          <w:sz w:val="24"/>
          <w:szCs w:val="24"/>
        </w:rPr>
        <w:t xml:space="preserve"> que</w:t>
      </w:r>
      <w:r>
        <w:rPr>
          <w:rFonts w:ascii="Times New Roman" w:hAnsi="Times New Roman" w:cs="Times New Roman"/>
          <w:sz w:val="24"/>
          <w:szCs w:val="24"/>
        </w:rPr>
        <w:t>,</w:t>
      </w:r>
      <w:r w:rsidRPr="00E654E0">
        <w:rPr>
          <w:rFonts w:ascii="Times New Roman" w:hAnsi="Times New Roman" w:cs="Times New Roman"/>
          <w:sz w:val="24"/>
          <w:szCs w:val="24"/>
        </w:rPr>
        <w:t xml:space="preserve"> em situações pontuais, recuse-se legitimamente a cooperar - artigo 117.º número 2 alínea </w:t>
      </w:r>
      <w:r w:rsidRPr="00E654E0">
        <w:rPr>
          <w:rFonts w:ascii="Times New Roman" w:hAnsi="Times New Roman" w:cs="Times New Roman"/>
          <w:i/>
          <w:sz w:val="24"/>
          <w:szCs w:val="24"/>
        </w:rPr>
        <w:t xml:space="preserve">c) </w:t>
      </w:r>
      <w:r w:rsidRPr="00E654E0">
        <w:rPr>
          <w:rFonts w:ascii="Times New Roman" w:hAnsi="Times New Roman" w:cs="Times New Roman"/>
          <w:sz w:val="24"/>
          <w:szCs w:val="24"/>
        </w:rPr>
        <w:t>do Código de Procedimento Administrativo</w:t>
      </w:r>
      <w:r w:rsidRPr="00E654E0">
        <w:rPr>
          <w:rFonts w:ascii="Times New Roman" w:hAnsi="Times New Roman" w:cs="Times New Roman"/>
          <w:i/>
          <w:sz w:val="24"/>
          <w:szCs w:val="24"/>
        </w:rPr>
        <w:t>, ex vi</w:t>
      </w:r>
      <w:r w:rsidRPr="00E654E0">
        <w:rPr>
          <w:rFonts w:ascii="Times New Roman" w:hAnsi="Times New Roman" w:cs="Times New Roman"/>
          <w:sz w:val="24"/>
          <w:szCs w:val="24"/>
        </w:rPr>
        <w:t xml:space="preserve">, do artigo 2.º da Lei Geral Tributária,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 xml:space="preserve">Da não inconstitucionalidade da imposição de um dever de colaboração, não poderíamos deixar de concluir se não pela admissibilidade em processo penal tributário dos documentos obtidos ao abrigo daquele dever, documentos cuja existência é independente da vontade do próprio contribuinte e que têm como finalidade a determinação do rendimento sujeito a tributação. Não pretende aquele procedimento a exteriorização de uma confissão de culpa através da utilização de meios enganosos de obtenção de prova, a sua finalidade é única e exclusivamente, a determinação do rendimento sujeito a tributação e consequentemente o seu tributo. </w:t>
      </w:r>
    </w:p>
    <w:p w:rsidR="00036D26" w:rsidRPr="00E654E0" w:rsidRDefault="00036D26" w:rsidP="00036D26">
      <w:pPr>
        <w:spacing w:line="360" w:lineRule="auto"/>
        <w:ind w:firstLine="708"/>
        <w:jc w:val="both"/>
        <w:rPr>
          <w:rFonts w:ascii="Times New Roman" w:hAnsi="Times New Roman" w:cs="Times New Roman"/>
          <w:sz w:val="24"/>
          <w:szCs w:val="24"/>
        </w:rPr>
      </w:pPr>
      <w:r w:rsidRPr="00E654E0">
        <w:rPr>
          <w:rFonts w:ascii="Times New Roman" w:hAnsi="Times New Roman" w:cs="Times New Roman"/>
          <w:sz w:val="24"/>
          <w:szCs w:val="24"/>
        </w:rPr>
        <w:t>Sendo admissível em processo criminal todas as provas que não forem proibidas por lei e não sendo aquelas provas proibidas porque legitimamente obtidas, servirão para efe</w:t>
      </w:r>
      <w:r>
        <w:rPr>
          <w:rFonts w:ascii="Times New Roman" w:hAnsi="Times New Roman" w:cs="Times New Roman"/>
          <w:sz w:val="24"/>
          <w:szCs w:val="24"/>
        </w:rPr>
        <w:t>itos de acusação ou condenação</w:t>
      </w:r>
      <w:r w:rsidRPr="00E654E0">
        <w:rPr>
          <w:rFonts w:ascii="Times New Roman" w:hAnsi="Times New Roman" w:cs="Times New Roman"/>
          <w:sz w:val="24"/>
          <w:szCs w:val="24"/>
        </w:rPr>
        <w:t xml:space="preserve"> num processo criminal. </w:t>
      </w:r>
    </w:p>
    <w:p w:rsidR="003A1D21" w:rsidRDefault="00036D26" w:rsidP="00036D26">
      <w:pPr>
        <w:spacing w:line="360" w:lineRule="auto"/>
        <w:ind w:firstLine="708"/>
        <w:jc w:val="both"/>
      </w:pPr>
      <w:r w:rsidRPr="00E654E0">
        <w:rPr>
          <w:rFonts w:ascii="Times New Roman" w:hAnsi="Times New Roman" w:cs="Times New Roman"/>
          <w:sz w:val="24"/>
          <w:szCs w:val="24"/>
        </w:rPr>
        <w:t>A sua natureza por vezes presuntiva, indiciária ou circunstancial também em nada afetará a sua admissibilidade. Sendo as presunções um meio de prova legalmente previsto, a sua apreciação será feita nos termos do artigo 127.º do Código de Processo Penal</w:t>
      </w:r>
      <w:r>
        <w:rPr>
          <w:rFonts w:ascii="Times New Roman" w:hAnsi="Times New Roman" w:cs="Times New Roman"/>
          <w:sz w:val="24"/>
          <w:szCs w:val="24"/>
        </w:rPr>
        <w:t>,</w:t>
      </w:r>
      <w:r w:rsidRPr="00E654E0">
        <w:rPr>
          <w:rFonts w:ascii="Times New Roman" w:hAnsi="Times New Roman" w:cs="Times New Roman"/>
          <w:sz w:val="24"/>
          <w:szCs w:val="24"/>
        </w:rPr>
        <w:t xml:space="preserve"> que dispõe que a prova é apreciada segundo as regras da experiência e a livre convicção da entidade competente – </w:t>
      </w:r>
      <w:r w:rsidRPr="00E654E0">
        <w:rPr>
          <w:rFonts w:ascii="Times New Roman" w:hAnsi="Times New Roman" w:cs="Times New Roman"/>
          <w:i/>
          <w:sz w:val="24"/>
          <w:szCs w:val="24"/>
        </w:rPr>
        <w:t xml:space="preserve">princípio da prova livre. </w:t>
      </w:r>
      <w:r w:rsidRPr="00E654E0">
        <w:rPr>
          <w:rFonts w:ascii="Times New Roman" w:hAnsi="Times New Roman" w:cs="Times New Roman"/>
          <w:sz w:val="24"/>
          <w:szCs w:val="24"/>
        </w:rPr>
        <w:t xml:space="preserve">O legislador estabeleceu um sistema de prova livre, </w:t>
      </w:r>
      <w:r>
        <w:rPr>
          <w:rFonts w:ascii="Times New Roman" w:hAnsi="Times New Roman" w:cs="Times New Roman"/>
          <w:sz w:val="24"/>
          <w:szCs w:val="24"/>
        </w:rPr>
        <w:t>sistema que permite ao julgador</w:t>
      </w:r>
      <w:r w:rsidRPr="00E654E0">
        <w:rPr>
          <w:rFonts w:ascii="Times New Roman" w:hAnsi="Times New Roman" w:cs="Times New Roman"/>
          <w:sz w:val="24"/>
          <w:szCs w:val="24"/>
        </w:rPr>
        <w:t xml:space="preserve"> o recurso a máximas da experiência e à sua própria convicção como forma de descoberta da verdade material.</w:t>
      </w:r>
    </w:p>
    <w:sectPr w:rsidR="003A1D21">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6B4" w:rsidRDefault="00D456B4" w:rsidP="00036D26">
      <w:pPr>
        <w:spacing w:after="0" w:line="240" w:lineRule="auto"/>
      </w:pPr>
      <w:r>
        <w:separator/>
      </w:r>
    </w:p>
  </w:endnote>
  <w:endnote w:type="continuationSeparator" w:id="0">
    <w:p w:rsidR="00D456B4" w:rsidRDefault="00D456B4" w:rsidP="00036D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7526867"/>
      <w:docPartObj>
        <w:docPartGallery w:val="Page Numbers (Bottom of Page)"/>
        <w:docPartUnique/>
      </w:docPartObj>
    </w:sdtPr>
    <w:sdtEndPr/>
    <w:sdtContent>
      <w:p w:rsidR="00036D26" w:rsidRDefault="00036D26">
        <w:pPr>
          <w:pStyle w:val="Rodap"/>
          <w:jc w:val="right"/>
        </w:pPr>
        <w:r>
          <w:fldChar w:fldCharType="begin"/>
        </w:r>
        <w:r>
          <w:instrText>PAGE   \* MERGEFORMAT</w:instrText>
        </w:r>
        <w:r>
          <w:fldChar w:fldCharType="separate"/>
        </w:r>
        <w:r w:rsidR="00BE33A6">
          <w:rPr>
            <w:noProof/>
          </w:rPr>
          <w:t>1</w:t>
        </w:r>
        <w:r>
          <w:fldChar w:fldCharType="end"/>
        </w:r>
      </w:p>
    </w:sdtContent>
  </w:sdt>
  <w:p w:rsidR="00036D26" w:rsidRDefault="00036D26">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6B4" w:rsidRDefault="00D456B4" w:rsidP="00036D26">
      <w:pPr>
        <w:spacing w:after="0" w:line="240" w:lineRule="auto"/>
      </w:pPr>
      <w:r>
        <w:separator/>
      </w:r>
    </w:p>
  </w:footnote>
  <w:footnote w:type="continuationSeparator" w:id="0">
    <w:p w:rsidR="00D456B4" w:rsidRDefault="00D456B4" w:rsidP="00036D26">
      <w:pPr>
        <w:spacing w:after="0" w:line="240" w:lineRule="auto"/>
      </w:pPr>
      <w:r>
        <w:continuationSeparator/>
      </w:r>
    </w:p>
  </w:footnote>
  <w:footnote w:id="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9.º, al. </w:t>
      </w:r>
      <w:r w:rsidRPr="00B66DF8">
        <w:rPr>
          <w:rFonts w:ascii="Times New Roman" w:hAnsi="Times New Roman" w:cs="Times New Roman"/>
          <w:i/>
        </w:rPr>
        <w:t>d)</w:t>
      </w:r>
      <w:r w:rsidRPr="00B66DF8">
        <w:rPr>
          <w:rFonts w:ascii="Times New Roman" w:hAnsi="Times New Roman" w:cs="Times New Roman"/>
        </w:rPr>
        <w:t xml:space="preserve"> da CRP</w:t>
      </w:r>
    </w:p>
  </w:footnote>
  <w:footnote w:id="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Casalta NABAIS, </w:t>
      </w:r>
      <w:r w:rsidRPr="00B66DF8">
        <w:rPr>
          <w:rFonts w:ascii="Times New Roman" w:hAnsi="Times New Roman" w:cs="Times New Roman"/>
          <w:i/>
        </w:rPr>
        <w:t xml:space="preserve">Direito Fiscal, </w:t>
      </w:r>
      <w:r w:rsidRPr="00B66DF8">
        <w:rPr>
          <w:rFonts w:ascii="Times New Roman" w:hAnsi="Times New Roman" w:cs="Times New Roman"/>
        </w:rPr>
        <w:t>Edições Almedina, 7.ª edição, 2012, p. 141</w:t>
      </w:r>
    </w:p>
  </w:footnote>
  <w:footnote w:id="3">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54.º/1, al. </w:t>
      </w:r>
      <w:r w:rsidRPr="00B66DF8">
        <w:rPr>
          <w:rFonts w:ascii="Times New Roman" w:hAnsi="Times New Roman" w:cs="Times New Roman"/>
          <w:i/>
          <w:lang w:val="en-US"/>
        </w:rPr>
        <w:t>g)</w:t>
      </w:r>
      <w:r w:rsidRPr="00B66DF8">
        <w:rPr>
          <w:rFonts w:ascii="Times New Roman" w:hAnsi="Times New Roman" w:cs="Times New Roman"/>
          <w:lang w:val="en-US"/>
        </w:rPr>
        <w:t xml:space="preserve"> da LGT</w:t>
      </w:r>
    </w:p>
  </w:footnote>
  <w:footnote w:id="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71.º da LGT</w:t>
      </w:r>
    </w:p>
  </w:footnote>
  <w:footnote w:id="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 L. Saldanha SANCHES, </w:t>
      </w:r>
      <w:r w:rsidRPr="00B66DF8">
        <w:rPr>
          <w:rFonts w:ascii="Times New Roman" w:hAnsi="Times New Roman" w:cs="Times New Roman"/>
          <w:i/>
        </w:rPr>
        <w:t>Manual de Direito Fiscal</w:t>
      </w:r>
      <w:r w:rsidRPr="00B66DF8">
        <w:rPr>
          <w:rFonts w:ascii="Times New Roman" w:hAnsi="Times New Roman" w:cs="Times New Roman"/>
        </w:rPr>
        <w:t>, Coimbra Editora, 2.ª edição, 2002, p. 32</w:t>
      </w:r>
    </w:p>
  </w:footnote>
  <w:footnote w:id="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3.º do CPA </w:t>
      </w:r>
      <w:r w:rsidRPr="00B66DF8">
        <w:rPr>
          <w:rFonts w:ascii="Times New Roman" w:hAnsi="Times New Roman" w:cs="Times New Roman"/>
          <w:i/>
        </w:rPr>
        <w:t>“os órgãos da administração pública devem atuar em obediência à lei e ao direito, dentro dos limites dos poderes que lhes estejam atribuídos e em conformidade com os fins para que os mesmos poderes lhes foram conferidos”</w:t>
      </w:r>
      <w:r w:rsidRPr="00B66DF8">
        <w:rPr>
          <w:rFonts w:ascii="Times New Roman" w:hAnsi="Times New Roman" w:cs="Times New Roman"/>
        </w:rPr>
        <w:t xml:space="preserve">  </w:t>
      </w:r>
    </w:p>
  </w:footnote>
  <w:footnote w:id="7">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Art. 4.º/1 da LGT, </w:t>
      </w:r>
      <w:r w:rsidRPr="00B66DF8">
        <w:rPr>
          <w:rFonts w:ascii="Times New Roman" w:hAnsi="Times New Roman" w:cs="Times New Roman"/>
          <w:i/>
        </w:rPr>
        <w:t>“os impostos assentam especialmente na capacidade contributiva (…)”</w:t>
      </w:r>
    </w:p>
  </w:footnote>
  <w:footnote w:id="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 L. Saldanha SANCHES, </w:t>
      </w:r>
      <w:r w:rsidRPr="00B66DF8">
        <w:rPr>
          <w:rFonts w:ascii="Times New Roman" w:hAnsi="Times New Roman" w:cs="Times New Roman"/>
          <w:i/>
        </w:rPr>
        <w:t xml:space="preserve">ob. cit., </w:t>
      </w:r>
      <w:r w:rsidRPr="00B66DF8">
        <w:rPr>
          <w:rFonts w:ascii="Times New Roman" w:hAnsi="Times New Roman" w:cs="Times New Roman"/>
        </w:rPr>
        <w:t>pp. 165-166</w:t>
      </w:r>
    </w:p>
  </w:footnote>
  <w:footnote w:id="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Casalta NABAIS, </w:t>
      </w:r>
      <w:r w:rsidRPr="00B66DF8">
        <w:rPr>
          <w:rFonts w:ascii="Times New Roman" w:hAnsi="Times New Roman" w:cs="Times New Roman"/>
          <w:i/>
        </w:rPr>
        <w:t>ob. cit.</w:t>
      </w:r>
      <w:r w:rsidRPr="00B66DF8">
        <w:rPr>
          <w:rFonts w:ascii="Times New Roman" w:hAnsi="Times New Roman" w:cs="Times New Roman"/>
        </w:rPr>
        <w:t>, p. 155</w:t>
      </w:r>
    </w:p>
  </w:footnote>
  <w:footnote w:id="1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eastAsia="Times New Roman" w:hAnsi="Times New Roman" w:cs="Times New Roman"/>
          <w:i/>
          <w:lang w:eastAsia="pt-PT"/>
        </w:rPr>
        <w:t>Nas suas relações com os particulares, a Administração Pública deve reger-se pelo princípio da igualdade, não podendo privilegiar, beneficiar, prejudicar, privar de qualquer direito ou isentar de qualquer dever ninguém em razão de ascendência, sexo, raça, língua, território de origem, religião, convicções políticas ou ideológicas, instrução, situação económica, condição social ou orientação sexual”</w:t>
      </w:r>
    </w:p>
  </w:footnote>
  <w:footnote w:id="1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Serena Cabrita NETO, Carla Castelo TRINDADE, </w:t>
      </w:r>
      <w:r w:rsidRPr="00B66DF8">
        <w:rPr>
          <w:rFonts w:ascii="Times New Roman" w:hAnsi="Times New Roman" w:cs="Times New Roman"/>
          <w:i/>
        </w:rPr>
        <w:t xml:space="preserve">Contencioso Tributário – Procedimento, Princípios e Garantias - Vol. I, </w:t>
      </w:r>
      <w:r>
        <w:rPr>
          <w:rFonts w:ascii="Times New Roman" w:hAnsi="Times New Roman" w:cs="Times New Roman"/>
        </w:rPr>
        <w:t>Edições Almedina, 2017, p</w:t>
      </w:r>
      <w:r w:rsidRPr="00B66DF8">
        <w:rPr>
          <w:rFonts w:ascii="Times New Roman" w:hAnsi="Times New Roman" w:cs="Times New Roman"/>
        </w:rPr>
        <w:t>. 119</w:t>
      </w:r>
    </w:p>
  </w:footnote>
  <w:footnote w:id="12">
    <w:p w:rsidR="00036D26" w:rsidRPr="00A007A3"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A007A3">
        <w:rPr>
          <w:rFonts w:ascii="Times New Roman" w:hAnsi="Times New Roman" w:cs="Times New Roman"/>
        </w:rPr>
        <w:t xml:space="preserve"> Art. 9.º do CPA</w:t>
      </w:r>
    </w:p>
  </w:footnote>
  <w:footnote w:id="13">
    <w:p w:rsidR="00036D26" w:rsidRPr="00A007A3"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A007A3">
        <w:rPr>
          <w:rFonts w:ascii="Times New Roman" w:hAnsi="Times New Roman" w:cs="Times New Roman"/>
        </w:rPr>
        <w:t xml:space="preserve"> Art. 58.º da LGT</w:t>
      </w:r>
    </w:p>
  </w:footnote>
  <w:footnote w:id="1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Diogo Leite CAMPOS, Benjamim Silva RODRIGUES, Jorge Lopes de SOUSA, </w:t>
      </w:r>
      <w:r w:rsidRPr="00B66DF8">
        <w:rPr>
          <w:rFonts w:ascii="Times New Roman" w:hAnsi="Times New Roman" w:cs="Times New Roman"/>
          <w:i/>
        </w:rPr>
        <w:t>Lei Geral Tributária Anotada e comentada</w:t>
      </w:r>
      <w:r w:rsidRPr="00B66DF8">
        <w:rPr>
          <w:rFonts w:ascii="Times New Roman" w:hAnsi="Times New Roman" w:cs="Times New Roman"/>
        </w:rPr>
        <w:t>, Encontro da Escrita Editora, 4.ª Edição, 2012, p. 488</w:t>
      </w:r>
    </w:p>
  </w:footnote>
  <w:footnote w:id="1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143</w:t>
      </w:r>
    </w:p>
  </w:footnote>
  <w:footnote w:id="16">
    <w:p w:rsidR="00036D26" w:rsidRPr="00B66DF8" w:rsidRDefault="00036D26" w:rsidP="00036D26">
      <w:pPr>
        <w:pStyle w:val="Textodenotaderodap"/>
        <w:tabs>
          <w:tab w:val="left" w:pos="1843"/>
        </w:tabs>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José Joaquim Gomes CANOTILHO, Vital MOREIRA, </w:t>
      </w:r>
      <w:r w:rsidRPr="00B66DF8">
        <w:rPr>
          <w:rFonts w:ascii="Times New Roman" w:hAnsi="Times New Roman" w:cs="Times New Roman"/>
          <w:i/>
        </w:rPr>
        <w:t xml:space="preserve">Constituição República Portuguesa Anotada – Volume I – Artigos 1º a 107.º, </w:t>
      </w:r>
      <w:r w:rsidRPr="00B66DF8">
        <w:rPr>
          <w:rFonts w:ascii="Times New Roman" w:hAnsi="Times New Roman" w:cs="Times New Roman"/>
        </w:rPr>
        <w:t>Coimbra Editora, 2007, p. 1093</w:t>
      </w:r>
    </w:p>
  </w:footnote>
  <w:footnote w:id="1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Casalta NABAIS, </w:t>
      </w:r>
      <w:r w:rsidRPr="00B66DF8">
        <w:rPr>
          <w:rFonts w:ascii="Times New Roman" w:hAnsi="Times New Roman" w:cs="Times New Roman"/>
          <w:i/>
        </w:rPr>
        <w:t>ob. cit.</w:t>
      </w:r>
      <w:r w:rsidRPr="00B66DF8">
        <w:rPr>
          <w:rFonts w:ascii="Times New Roman" w:hAnsi="Times New Roman" w:cs="Times New Roman"/>
        </w:rPr>
        <w:t>, p. 135</w:t>
      </w:r>
    </w:p>
  </w:footnote>
  <w:footnote w:id="1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José Joaquim Gomes CANOTILHO, Vital MOREIRA, </w:t>
      </w:r>
      <w:r w:rsidRPr="00B66DF8">
        <w:rPr>
          <w:rFonts w:ascii="Times New Roman" w:hAnsi="Times New Roman" w:cs="Times New Roman"/>
          <w:i/>
        </w:rPr>
        <w:t xml:space="preserve">Constituição República Portuguesa </w:t>
      </w:r>
      <w:r w:rsidRPr="00B66DF8">
        <w:rPr>
          <w:rFonts w:ascii="Times New Roman" w:hAnsi="Times New Roman" w:cs="Times New Roman"/>
        </w:rPr>
        <w:t>Anotada, 3.ª edição revista,</w:t>
      </w:r>
      <w:r w:rsidRPr="00B66DF8">
        <w:rPr>
          <w:rFonts w:ascii="Times New Roman" w:hAnsi="Times New Roman" w:cs="Times New Roman"/>
          <w:i/>
        </w:rPr>
        <w:t xml:space="preserve"> </w:t>
      </w:r>
      <w:r w:rsidRPr="00B66DF8">
        <w:rPr>
          <w:rFonts w:ascii="Times New Roman" w:hAnsi="Times New Roman" w:cs="Times New Roman"/>
        </w:rPr>
        <w:t>Coimbra Editora, 1993, pp. 923-925</w:t>
      </w:r>
    </w:p>
  </w:footnote>
  <w:footnote w:id="19">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268.º/3 da CRP</w:t>
      </w:r>
    </w:p>
  </w:footnote>
  <w:footnote w:id="20">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75.º da LGT</w:t>
      </w:r>
    </w:p>
  </w:footnote>
  <w:footnote w:id="2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75.º/2, al. </w:t>
      </w:r>
      <w:r w:rsidRPr="00B66DF8">
        <w:rPr>
          <w:rFonts w:ascii="Times New Roman" w:hAnsi="Times New Roman" w:cs="Times New Roman"/>
          <w:i/>
        </w:rPr>
        <w:t>a)</w:t>
      </w:r>
      <w:r w:rsidRPr="00B66DF8">
        <w:rPr>
          <w:rFonts w:ascii="Times New Roman" w:hAnsi="Times New Roman" w:cs="Times New Roman"/>
        </w:rPr>
        <w:t xml:space="preserve"> da LGT</w:t>
      </w:r>
    </w:p>
  </w:footnote>
  <w:footnote w:id="2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 L. Saldanha SANCHES, </w:t>
      </w:r>
      <w:r w:rsidRPr="00B66DF8">
        <w:rPr>
          <w:rFonts w:ascii="Times New Roman" w:hAnsi="Times New Roman" w:cs="Times New Roman"/>
          <w:i/>
        </w:rPr>
        <w:t>A Quantificação da Obrigação Tributária – Deveres de Cooperação, Autoavaliação e Avaliação Administrativa</w:t>
      </w:r>
      <w:r w:rsidRPr="00B66DF8">
        <w:rPr>
          <w:rFonts w:ascii="Times New Roman" w:hAnsi="Times New Roman" w:cs="Times New Roman"/>
        </w:rPr>
        <w:t>, Lex Editora, 2.ª edição, 2000, pp. 304 e 305</w:t>
      </w:r>
    </w:p>
  </w:footnote>
  <w:footnote w:id="2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 733</w:t>
      </w:r>
    </w:p>
  </w:footnote>
  <w:footnote w:id="24">
    <w:p w:rsidR="00036D26" w:rsidRPr="007C5CC1"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7C5CC1">
        <w:rPr>
          <w:rFonts w:ascii="Times New Roman" w:hAnsi="Times New Roman" w:cs="Times New Roman"/>
        </w:rPr>
        <w:t xml:space="preserve"> In </w:t>
      </w:r>
      <w:r w:rsidRPr="00B66DF8">
        <w:rPr>
          <w:rFonts w:ascii="Times New Roman" w:hAnsi="Times New Roman" w:cs="Times New Roman"/>
        </w:rPr>
        <w:t xml:space="preserve">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xml:space="preserve">., p. </w:t>
      </w:r>
      <w:r w:rsidRPr="007C5CC1">
        <w:rPr>
          <w:rFonts w:ascii="Times New Roman" w:hAnsi="Times New Roman" w:cs="Times New Roman"/>
        </w:rPr>
        <w:t>734</w:t>
      </w:r>
    </w:p>
  </w:footnote>
  <w:footnote w:id="25">
    <w:p w:rsidR="00036D26" w:rsidRPr="00B66DF8" w:rsidRDefault="00036D26" w:rsidP="00036D26">
      <w:pPr>
        <w:pStyle w:val="Textodenotaderodap"/>
        <w:spacing w:line="276" w:lineRule="auto"/>
        <w:jc w:val="both"/>
        <w:rPr>
          <w:rFonts w:ascii="Times New Roman" w:hAnsi="Times New Roman" w:cs="Times New Roman"/>
          <w:b/>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104.º/2 da CRP</w:t>
      </w:r>
    </w:p>
  </w:footnote>
  <w:footnote w:id="26">
    <w:p w:rsidR="00036D26" w:rsidRPr="00036D26"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036D26">
        <w:rPr>
          <w:rFonts w:ascii="Times New Roman" w:hAnsi="Times New Roman" w:cs="Times New Roman"/>
          <w:lang w:val="en-US"/>
        </w:rPr>
        <w:t xml:space="preserve"> Art. 81.º/1 da LGT</w:t>
      </w:r>
    </w:p>
  </w:footnote>
  <w:footnote w:id="2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379</w:t>
      </w:r>
    </w:p>
  </w:footnote>
  <w:footnote w:id="2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No art. 113.º/3 do RGIT temos previstas situações em que o legislador considerou existir uma vontade manifestada de não permitir à administração tributária o acesso aos elementos objetivos necessários para a descoberta da verdade material </w:t>
      </w:r>
    </w:p>
  </w:footnote>
  <w:footnote w:id="2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pp. 782 e 783</w:t>
      </w:r>
    </w:p>
  </w:footnote>
  <w:footnote w:id="3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w:t>
      </w:r>
      <w:r w:rsidRPr="00B66DF8">
        <w:rPr>
          <w:rFonts w:ascii="Times New Roman" w:hAnsi="Times New Roman" w:cs="Times New Roman"/>
          <w:i/>
        </w:rPr>
        <w:t xml:space="preserve">Idem, </w:t>
      </w:r>
      <w:r w:rsidRPr="00B66DF8">
        <w:rPr>
          <w:rFonts w:ascii="Times New Roman" w:hAnsi="Times New Roman" w:cs="Times New Roman"/>
        </w:rPr>
        <w:t xml:space="preserve">pp. 782 e 783 e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pp. 387 e 388</w:t>
      </w:r>
    </w:p>
  </w:footnote>
  <w:footnote w:id="3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75.º/1 da LGT</w:t>
      </w:r>
    </w:p>
  </w:footnote>
  <w:footnote w:id="3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383</w:t>
      </w:r>
    </w:p>
  </w:footnote>
  <w:footnote w:id="3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w:t>
      </w:r>
      <w:r w:rsidRPr="00B66DF8">
        <w:rPr>
          <w:rFonts w:ascii="Times New Roman" w:hAnsi="Times New Roman" w:cs="Times New Roman"/>
          <w:i/>
        </w:rPr>
        <w:t xml:space="preserve">Idem., </w:t>
      </w:r>
      <w:r w:rsidRPr="00B66DF8">
        <w:rPr>
          <w:rFonts w:ascii="Times New Roman" w:hAnsi="Times New Roman" w:cs="Times New Roman"/>
        </w:rPr>
        <w:t>p. 389</w:t>
      </w:r>
    </w:p>
  </w:footnote>
  <w:footnote w:id="3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José Joaquim Gomes CANOTILHO, Vital MOREIRA, </w:t>
      </w:r>
      <w:r w:rsidRPr="00B66DF8">
        <w:rPr>
          <w:rFonts w:ascii="Times New Roman" w:hAnsi="Times New Roman" w:cs="Times New Roman"/>
          <w:i/>
        </w:rPr>
        <w:t>ob. cit.,</w:t>
      </w:r>
      <w:r w:rsidRPr="00B66DF8">
        <w:rPr>
          <w:rFonts w:ascii="Times New Roman" w:hAnsi="Times New Roman" w:cs="Times New Roman"/>
        </w:rPr>
        <w:t xml:space="preserve"> p. 936</w:t>
      </w:r>
    </w:p>
  </w:footnote>
  <w:footnote w:id="35">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 Contenciosamente impugnável será apenas o ato final de liquidação, na medida em que se trata do ato final do procedimento. Contudo, ainda antes da impugnação contenciosa do ato, deverá o contribuinte apresentar a sua reclamação em sede de procedimento de revisão da matéria tributável, nos termos do art. 91.º da LGT – </w:t>
      </w:r>
      <w:r w:rsidRPr="00B66DF8">
        <w:rPr>
          <w:rFonts w:ascii="Times New Roman" w:hAnsi="Times New Roman" w:cs="Times New Roman"/>
          <w:i/>
        </w:rPr>
        <w:t xml:space="preserve">a impugnação contenciosa depende do esgotamento prévio do procedimento de revisão da matéria coletável - </w:t>
      </w:r>
      <w:r w:rsidRPr="00B66DF8">
        <w:rPr>
          <w:rFonts w:ascii="Times New Roman" w:hAnsi="Times New Roman" w:cs="Times New Roman"/>
        </w:rPr>
        <w:t>In</w:t>
      </w:r>
      <w:r w:rsidRPr="00B66DF8">
        <w:rPr>
          <w:rFonts w:ascii="Times New Roman" w:hAnsi="Times New Roman" w:cs="Times New Roman"/>
          <w:i/>
        </w:rPr>
        <w:t xml:space="preserve"> </w:t>
      </w:r>
      <w:r w:rsidRPr="00B66DF8">
        <w:rPr>
          <w:rFonts w:ascii="Times New Roman" w:hAnsi="Times New Roman" w:cs="Times New Roman"/>
        </w:rPr>
        <w:t xml:space="preserve">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393</w:t>
      </w:r>
    </w:p>
  </w:footnote>
  <w:footnote w:id="3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50.º da LGT</w:t>
      </w:r>
    </w:p>
  </w:footnote>
  <w:footnote w:id="3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 xml:space="preserve">Limite positivo – obrigatoriedade de prossecução do interesse público (…); a administração exerce as suas atribuições para a satisfação dos interesses da coletividade - </w:t>
      </w:r>
      <w:r w:rsidRPr="00B66DF8">
        <w:rPr>
          <w:rFonts w:ascii="Times New Roman" w:hAnsi="Times New Roman" w:cs="Times New Roman"/>
        </w:rPr>
        <w:t xml:space="preserve">Cfr. José Joaquim Gomes CANOTILHO, Vital MOREIRA, </w:t>
      </w:r>
      <w:r w:rsidRPr="00B66DF8">
        <w:rPr>
          <w:rFonts w:ascii="Times New Roman" w:hAnsi="Times New Roman" w:cs="Times New Roman"/>
          <w:i/>
        </w:rPr>
        <w:t>ob. cit.,</w:t>
      </w:r>
      <w:r w:rsidRPr="00B66DF8">
        <w:rPr>
          <w:rFonts w:ascii="Times New Roman" w:hAnsi="Times New Roman" w:cs="Times New Roman"/>
        </w:rPr>
        <w:t xml:space="preserve"> p. 922</w:t>
      </w:r>
    </w:p>
  </w:footnote>
  <w:footnote w:id="3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 L. Saldanha SANCHES, </w:t>
      </w:r>
      <w:r w:rsidRPr="00B66DF8">
        <w:rPr>
          <w:rFonts w:ascii="Times New Roman" w:hAnsi="Times New Roman" w:cs="Times New Roman"/>
          <w:i/>
        </w:rPr>
        <w:t>ob. cit.</w:t>
      </w:r>
      <w:r w:rsidRPr="00B66DF8">
        <w:rPr>
          <w:rFonts w:ascii="Times New Roman" w:hAnsi="Times New Roman" w:cs="Times New Roman"/>
        </w:rPr>
        <w:t>, pp. 304 e 305</w:t>
      </w:r>
    </w:p>
  </w:footnote>
  <w:footnote w:id="3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Relatório da Comissão para o Desenvolvimento da Reforma Fiscal, in Caderno de Ciência e Técnica Fiscal n.º 191, p. 297</w:t>
      </w:r>
    </w:p>
  </w:footnote>
  <w:footnote w:id="4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João Sérgio RIBEIRO,</w:t>
      </w:r>
      <w:r w:rsidRPr="00B66DF8">
        <w:rPr>
          <w:rFonts w:ascii="Times New Roman" w:hAnsi="Times New Roman" w:cs="Times New Roman"/>
          <w:i/>
        </w:rPr>
        <w:t xml:space="preserve"> Tributação Presuntiva do Rendimento, Um Contributo para Reequacionar os Métodos Indiretos de Determinação da Matéria Tributável, </w:t>
      </w:r>
      <w:r w:rsidRPr="00B66DF8">
        <w:rPr>
          <w:rFonts w:ascii="Times New Roman" w:hAnsi="Times New Roman" w:cs="Times New Roman"/>
        </w:rPr>
        <w:t>Edições Almedina, 2014,</w:t>
      </w:r>
      <w:r w:rsidRPr="00B66DF8">
        <w:rPr>
          <w:rFonts w:ascii="Times New Roman" w:hAnsi="Times New Roman" w:cs="Times New Roman"/>
          <w:i/>
        </w:rPr>
        <w:t xml:space="preserve"> </w:t>
      </w:r>
      <w:r w:rsidRPr="00B66DF8">
        <w:rPr>
          <w:rFonts w:ascii="Times New Roman" w:hAnsi="Times New Roman" w:cs="Times New Roman"/>
        </w:rPr>
        <w:t xml:space="preserve">pp. 42 e 43 </w:t>
      </w:r>
    </w:p>
  </w:footnote>
  <w:footnote w:id="4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w:t>
      </w:r>
      <w:r w:rsidRPr="00B66DF8">
        <w:rPr>
          <w:rFonts w:ascii="Times New Roman" w:hAnsi="Times New Roman" w:cs="Times New Roman"/>
          <w:i/>
        </w:rPr>
        <w:t xml:space="preserve">Idem, </w:t>
      </w:r>
      <w:r w:rsidRPr="00B66DF8">
        <w:rPr>
          <w:rFonts w:ascii="Times New Roman" w:hAnsi="Times New Roman" w:cs="Times New Roman"/>
        </w:rPr>
        <w:t>pp. 44 e 45</w:t>
      </w:r>
    </w:p>
  </w:footnote>
  <w:footnote w:id="4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 L. Saldanha SANCHES, </w:t>
      </w:r>
      <w:r w:rsidRPr="00B66DF8">
        <w:rPr>
          <w:rFonts w:ascii="Times New Roman" w:hAnsi="Times New Roman" w:cs="Times New Roman"/>
          <w:i/>
        </w:rPr>
        <w:t>ob. cit.</w:t>
      </w:r>
      <w:r w:rsidRPr="00B66DF8">
        <w:rPr>
          <w:rFonts w:ascii="Times New Roman" w:hAnsi="Times New Roman" w:cs="Times New Roman"/>
        </w:rPr>
        <w:t>, p. 317</w:t>
      </w:r>
    </w:p>
  </w:footnote>
  <w:footnote w:id="4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João Sérgio RIBEIRO, </w:t>
      </w:r>
      <w:r w:rsidRPr="00B66DF8">
        <w:rPr>
          <w:rFonts w:ascii="Times New Roman" w:hAnsi="Times New Roman" w:cs="Times New Roman"/>
          <w:i/>
        </w:rPr>
        <w:t xml:space="preserve">ob. cit., </w:t>
      </w:r>
      <w:r w:rsidRPr="00B66DF8">
        <w:rPr>
          <w:rFonts w:ascii="Times New Roman" w:hAnsi="Times New Roman" w:cs="Times New Roman"/>
        </w:rPr>
        <w:t>pp. 54 e 55</w:t>
      </w:r>
    </w:p>
  </w:footnote>
  <w:footnote w:id="4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Adriano Pais da Silva Vaz SERRA, </w:t>
      </w:r>
      <w:r w:rsidRPr="00B66DF8">
        <w:rPr>
          <w:rFonts w:ascii="Times New Roman" w:hAnsi="Times New Roman" w:cs="Times New Roman"/>
          <w:i/>
        </w:rPr>
        <w:t>Provas: Direito Probatório Material</w:t>
      </w:r>
      <w:r w:rsidRPr="00B66DF8">
        <w:rPr>
          <w:rFonts w:ascii="Times New Roman" w:hAnsi="Times New Roman" w:cs="Times New Roman"/>
        </w:rPr>
        <w:t xml:space="preserve">, Empresa Nacional de Publicidade, Lisboa, 1962, pp. 127 e ss.; Cfr. João Sérgio RIBEIRO, </w:t>
      </w:r>
      <w:r w:rsidRPr="00B66DF8">
        <w:rPr>
          <w:rFonts w:ascii="Times New Roman" w:hAnsi="Times New Roman" w:cs="Times New Roman"/>
          <w:i/>
        </w:rPr>
        <w:t xml:space="preserve">ob. cit., </w:t>
      </w:r>
      <w:r w:rsidRPr="00B66DF8">
        <w:rPr>
          <w:rFonts w:ascii="Times New Roman" w:hAnsi="Times New Roman" w:cs="Times New Roman"/>
        </w:rPr>
        <w:t>pp. 40 e ss</w:t>
      </w:r>
    </w:p>
  </w:footnote>
  <w:footnote w:id="4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Serena Cabrita NETO, Carla Castelo TRINDADE,</w:t>
      </w:r>
      <w:r w:rsidRPr="00B66DF8">
        <w:rPr>
          <w:rFonts w:ascii="Times New Roman" w:hAnsi="Times New Roman" w:cs="Times New Roman"/>
          <w:i/>
        </w:rPr>
        <w:t xml:space="preserve"> ob. cit., </w:t>
      </w:r>
      <w:r w:rsidRPr="00B66DF8">
        <w:rPr>
          <w:rFonts w:ascii="Times New Roman" w:hAnsi="Times New Roman" w:cs="Times New Roman"/>
        </w:rPr>
        <w:t>p. 64</w:t>
      </w:r>
    </w:p>
  </w:footnote>
  <w:footnote w:id="4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Os esclarecimentos solicitados devem visar a satisfação das necessidades do procedimento tributário e a prossecução do interesse público. Estando toda a atividade administrativa sujeita ao princípio da proporcionalidade, não poderá a administração exigir uma colaboração desnecessária e irrelevante para a decisão no procedimento – Cfr.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pp. 497</w:t>
      </w:r>
    </w:p>
  </w:footnote>
  <w:footnote w:id="4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Deve ela própria</w:t>
      </w:r>
      <w:r w:rsidRPr="00B66DF8">
        <w:rPr>
          <w:rFonts w:ascii="Times New Roman" w:hAnsi="Times New Roman" w:cs="Times New Roman"/>
        </w:rPr>
        <w:t xml:space="preserve"> – a Administração – </w:t>
      </w:r>
      <w:r w:rsidRPr="00B66DF8">
        <w:rPr>
          <w:rFonts w:ascii="Times New Roman" w:hAnsi="Times New Roman" w:cs="Times New Roman"/>
          <w:i/>
        </w:rPr>
        <w:t>tomar a iniciativa de realizar as diligências que se afigurem como relevantes para a correta averiguação da realidade factual em que deve assentar a sua decisão</w:t>
      </w:r>
      <w:r w:rsidRPr="00B66DF8">
        <w:rPr>
          <w:rFonts w:ascii="Times New Roman" w:hAnsi="Times New Roman" w:cs="Times New Roman"/>
        </w:rPr>
        <w:t xml:space="preserve"> – In </w:t>
      </w:r>
      <w:r w:rsidRPr="00B66DF8">
        <w:rPr>
          <w:rFonts w:ascii="Times New Roman" w:hAnsi="Times New Roman" w:cs="Times New Roman"/>
          <w:i/>
        </w:rPr>
        <w:t xml:space="preserve">Idem, </w:t>
      </w:r>
      <w:r w:rsidRPr="00B66DF8">
        <w:rPr>
          <w:rFonts w:ascii="Times New Roman" w:hAnsi="Times New Roman" w:cs="Times New Roman"/>
        </w:rPr>
        <w:t>p. 488</w:t>
      </w:r>
    </w:p>
  </w:footnote>
  <w:footnote w:id="4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 L. Saldanha SANCHES, </w:t>
      </w:r>
      <w:r w:rsidRPr="00B66DF8">
        <w:rPr>
          <w:rFonts w:ascii="Times New Roman" w:hAnsi="Times New Roman" w:cs="Times New Roman"/>
          <w:i/>
        </w:rPr>
        <w:t>ob. cit.</w:t>
      </w:r>
      <w:r w:rsidRPr="00B66DF8">
        <w:rPr>
          <w:rFonts w:ascii="Times New Roman" w:hAnsi="Times New Roman" w:cs="Times New Roman"/>
        </w:rPr>
        <w:t>, p. 295</w:t>
      </w:r>
    </w:p>
  </w:footnote>
  <w:footnote w:id="4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397</w:t>
      </w:r>
    </w:p>
  </w:footnote>
  <w:footnote w:id="5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2.º/1 do RCPITA</w:t>
      </w:r>
    </w:p>
  </w:footnote>
  <w:footnote w:id="5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MARQUES, </w:t>
      </w:r>
      <w:r w:rsidRPr="00B66DF8">
        <w:rPr>
          <w:rFonts w:ascii="Times New Roman" w:hAnsi="Times New Roman" w:cs="Times New Roman"/>
          <w:i/>
        </w:rPr>
        <w:t>O Procedimento de Inspeção Tributária</w:t>
      </w:r>
      <w:r w:rsidRPr="00B66DF8">
        <w:rPr>
          <w:rFonts w:ascii="Times New Roman" w:hAnsi="Times New Roman" w:cs="Times New Roman"/>
        </w:rPr>
        <w:t>, Coimbra Editora, 1.ª edição, 2014, p. 59</w:t>
      </w:r>
    </w:p>
  </w:footnote>
  <w:footnote w:id="5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MARQUES, </w:t>
      </w:r>
      <w:r w:rsidRPr="00B66DF8">
        <w:rPr>
          <w:rFonts w:ascii="Times New Roman" w:hAnsi="Times New Roman" w:cs="Times New Roman"/>
          <w:i/>
        </w:rPr>
        <w:t xml:space="preserve">ob. cit., </w:t>
      </w:r>
      <w:r w:rsidRPr="00B66DF8">
        <w:rPr>
          <w:rFonts w:ascii="Times New Roman" w:hAnsi="Times New Roman" w:cs="Times New Roman"/>
        </w:rPr>
        <w:t>p. 176</w:t>
      </w:r>
    </w:p>
  </w:footnote>
  <w:footnote w:id="5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12.º/1, al. </w:t>
      </w:r>
      <w:r w:rsidRPr="00B66DF8">
        <w:rPr>
          <w:rFonts w:ascii="Times New Roman" w:hAnsi="Times New Roman" w:cs="Times New Roman"/>
          <w:i/>
        </w:rPr>
        <w:t>a)</w:t>
      </w:r>
      <w:r w:rsidRPr="00B66DF8">
        <w:rPr>
          <w:rFonts w:ascii="Times New Roman" w:hAnsi="Times New Roman" w:cs="Times New Roman"/>
        </w:rPr>
        <w:t xml:space="preserve"> do RCPITA</w:t>
      </w:r>
    </w:p>
  </w:footnote>
  <w:footnote w:id="5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13.º do RCPITA</w:t>
      </w:r>
    </w:p>
  </w:footnote>
  <w:footnote w:id="5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2.º/3 do RCPITA</w:t>
      </w:r>
    </w:p>
  </w:footnote>
  <w:footnote w:id="5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Exceto nos casos do art. 50.º em que há uma dispensa de notificação prévia</w:t>
      </w:r>
    </w:p>
  </w:footnote>
  <w:footnote w:id="5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62.º/2 do RCPITA</w:t>
      </w:r>
    </w:p>
  </w:footnote>
  <w:footnote w:id="5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“Todos os atos administrativos estão sujeitos a notificação aos interessados, na forma prevista na lei, e carecem de fundamentação expressa e acessível quando afetem direitos ou interesses legalmente protegidos”</w:t>
      </w:r>
    </w:p>
  </w:footnote>
  <w:footnote w:id="5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 675</w:t>
      </w:r>
    </w:p>
  </w:footnote>
  <w:footnote w:id="6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Joaquim Gomes CANOTILHO, Vital MOREIRA, </w:t>
      </w:r>
      <w:r w:rsidRPr="00B66DF8">
        <w:rPr>
          <w:rFonts w:ascii="Times New Roman" w:hAnsi="Times New Roman" w:cs="Times New Roman"/>
          <w:i/>
        </w:rPr>
        <w:t>ob. cit.</w:t>
      </w:r>
      <w:r w:rsidRPr="00B66DF8">
        <w:rPr>
          <w:rFonts w:ascii="Times New Roman" w:hAnsi="Times New Roman" w:cs="Times New Roman"/>
        </w:rPr>
        <w:t>, 936</w:t>
      </w:r>
    </w:p>
  </w:footnote>
  <w:footnote w:id="6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MARQUES </w:t>
      </w:r>
      <w:r w:rsidRPr="00B66DF8">
        <w:rPr>
          <w:rFonts w:ascii="Times New Roman" w:hAnsi="Times New Roman" w:cs="Times New Roman"/>
          <w:i/>
        </w:rPr>
        <w:t xml:space="preserve">ob. cit., </w:t>
      </w:r>
      <w:r w:rsidRPr="00B66DF8">
        <w:rPr>
          <w:rFonts w:ascii="Times New Roman" w:hAnsi="Times New Roman" w:cs="Times New Roman"/>
        </w:rPr>
        <w:t>p. 295</w:t>
      </w:r>
    </w:p>
  </w:footnote>
  <w:footnote w:id="62">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 Considera-se cumprido o dever de fundamentação </w:t>
      </w:r>
      <w:r w:rsidRPr="00B66DF8">
        <w:rPr>
          <w:rFonts w:ascii="Times New Roman" w:hAnsi="Times New Roman" w:cs="Times New Roman"/>
          <w:i/>
        </w:rPr>
        <w:t xml:space="preserve">se o destinatário do ato puder descortinar o caminho percorrido pelo órgão decisor que o levou a decidir de determinada forma e não de outra, </w:t>
      </w:r>
      <w:r w:rsidRPr="00B66DF8">
        <w:rPr>
          <w:rFonts w:ascii="Times New Roman" w:hAnsi="Times New Roman" w:cs="Times New Roman"/>
        </w:rPr>
        <w:t xml:space="preserve">In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193</w:t>
      </w:r>
      <w:r w:rsidRPr="00B66DF8">
        <w:rPr>
          <w:rFonts w:ascii="Times New Roman" w:hAnsi="Times New Roman" w:cs="Times New Roman"/>
          <w:i/>
        </w:rPr>
        <w:t xml:space="preserve"> </w:t>
      </w:r>
    </w:p>
  </w:footnote>
  <w:footnote w:id="6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w:t>
      </w:r>
      <w:r w:rsidRPr="00B66DF8">
        <w:rPr>
          <w:rFonts w:ascii="Times New Roman" w:hAnsi="Times New Roman" w:cs="Times New Roman"/>
          <w:i/>
        </w:rPr>
        <w:t>Idem</w:t>
      </w:r>
      <w:r w:rsidRPr="00B66DF8">
        <w:rPr>
          <w:rFonts w:ascii="Times New Roman" w:hAnsi="Times New Roman" w:cs="Times New Roman"/>
        </w:rPr>
        <w:t xml:space="preserve">, p. 411 e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 687</w:t>
      </w:r>
    </w:p>
  </w:footnote>
  <w:footnote w:id="6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“Podemos ter como consequência jurídica da violação de um dever de cooperação uma reação fiscal, contraordenacional ou penal-fiscal” - Cfr. J. L. Saldanha SANCHES, </w:t>
      </w:r>
      <w:r w:rsidRPr="00B66DF8">
        <w:rPr>
          <w:rFonts w:ascii="Times New Roman" w:hAnsi="Times New Roman" w:cs="Times New Roman"/>
          <w:i/>
        </w:rPr>
        <w:t>ob. cit.,</w:t>
      </w:r>
      <w:r w:rsidRPr="00B66DF8">
        <w:rPr>
          <w:rFonts w:ascii="Times New Roman" w:hAnsi="Times New Roman" w:cs="Times New Roman"/>
        </w:rPr>
        <w:t xml:space="preserve"> p. 296 </w:t>
      </w:r>
    </w:p>
  </w:footnote>
  <w:footnote w:id="6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MARQUES,</w:t>
      </w:r>
      <w:r w:rsidRPr="00B66DF8">
        <w:rPr>
          <w:rFonts w:ascii="Times New Roman" w:hAnsi="Times New Roman" w:cs="Times New Roman"/>
          <w:i/>
        </w:rPr>
        <w:t xml:space="preserve"> ob. cit., </w:t>
      </w:r>
      <w:r w:rsidRPr="00B66DF8">
        <w:rPr>
          <w:rFonts w:ascii="Times New Roman" w:hAnsi="Times New Roman" w:cs="Times New Roman"/>
        </w:rPr>
        <w:t>p. 309</w:t>
      </w:r>
    </w:p>
  </w:footnote>
  <w:footnote w:id="6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w:t>
      </w:r>
      <w:r>
        <w:rPr>
          <w:rFonts w:ascii="Times New Roman" w:hAnsi="Times New Roman" w:cs="Times New Roman"/>
          <w:i/>
        </w:rPr>
        <w:t xml:space="preserve">Idem, </w:t>
      </w:r>
      <w:r w:rsidRPr="00B66DF8">
        <w:rPr>
          <w:rFonts w:ascii="Times New Roman" w:hAnsi="Times New Roman" w:cs="Times New Roman"/>
        </w:rPr>
        <w:t>p. 310</w:t>
      </w:r>
    </w:p>
  </w:footnote>
  <w:footnote w:id="6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638</w:t>
      </w:r>
    </w:p>
  </w:footnote>
  <w:footnote w:id="6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 xml:space="preserve">p. 640 e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pp. 656 e 657</w:t>
      </w:r>
    </w:p>
  </w:footnote>
  <w:footnote w:id="6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Diogo Leite CAMPOS, Benjamim Silva RODRIGUES, Jorge Lopes de SOUSA, </w:t>
      </w:r>
      <w:r w:rsidRPr="00B66DF8">
        <w:rPr>
          <w:rFonts w:ascii="Times New Roman" w:hAnsi="Times New Roman" w:cs="Times New Roman"/>
          <w:i/>
        </w:rPr>
        <w:t>ob. cit.</w:t>
      </w:r>
      <w:r w:rsidRPr="00B66DF8">
        <w:rPr>
          <w:rFonts w:ascii="Times New Roman" w:hAnsi="Times New Roman" w:cs="Times New Roman"/>
        </w:rPr>
        <w:t>, p. 657</w:t>
      </w:r>
    </w:p>
  </w:footnote>
  <w:footnote w:id="7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75.º/1 da LGT</w:t>
      </w:r>
    </w:p>
  </w:footnote>
  <w:footnote w:id="7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643</w:t>
      </w:r>
    </w:p>
  </w:footnote>
  <w:footnote w:id="7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Serena Cabrita NETO, Carla Castelo TRINDADE, </w:t>
      </w:r>
      <w:r w:rsidRPr="00B66DF8">
        <w:rPr>
          <w:rFonts w:ascii="Times New Roman" w:hAnsi="Times New Roman" w:cs="Times New Roman"/>
          <w:i/>
        </w:rPr>
        <w:t xml:space="preserve">ob. cit., </w:t>
      </w:r>
      <w:r w:rsidRPr="00B66DF8">
        <w:rPr>
          <w:rFonts w:ascii="Times New Roman" w:hAnsi="Times New Roman" w:cs="Times New Roman"/>
        </w:rPr>
        <w:t>p. 650</w:t>
      </w:r>
    </w:p>
  </w:footnote>
  <w:footnote w:id="7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Germano Marques da SILVA, </w:t>
      </w:r>
      <w:r w:rsidRPr="00B66DF8">
        <w:rPr>
          <w:rFonts w:ascii="Times New Roman" w:hAnsi="Times New Roman" w:cs="Times New Roman"/>
          <w:i/>
        </w:rPr>
        <w:t xml:space="preserve">Direito Penal Tributário, </w:t>
      </w:r>
      <w:r w:rsidRPr="00B66DF8">
        <w:rPr>
          <w:rFonts w:ascii="Times New Roman" w:hAnsi="Times New Roman" w:cs="Times New Roman"/>
        </w:rPr>
        <w:t>Universidade Católica Editora, 2009, pp. 163 e 164</w:t>
      </w:r>
    </w:p>
  </w:footnote>
  <w:footnote w:id="7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Aprovado pelo DL n.º 20-A/90, de 15 de Janeiro</w:t>
      </w:r>
    </w:p>
  </w:footnote>
  <w:footnote w:id="7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w:t>
      </w:r>
      <w:r w:rsidRPr="00B66DF8">
        <w:rPr>
          <w:rFonts w:ascii="Times New Roman" w:hAnsi="Times New Roman" w:cs="Times New Roman"/>
          <w:i/>
        </w:rPr>
        <w:t xml:space="preserve">ob. cit., </w:t>
      </w:r>
      <w:r w:rsidRPr="00B66DF8">
        <w:rPr>
          <w:rFonts w:ascii="Times New Roman" w:hAnsi="Times New Roman" w:cs="Times New Roman"/>
        </w:rPr>
        <w:t>p. 151</w:t>
      </w:r>
    </w:p>
  </w:footnote>
  <w:footnote w:id="7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Isabel Marques da SILVA, </w:t>
      </w:r>
      <w:r w:rsidRPr="00B66DF8">
        <w:rPr>
          <w:rFonts w:ascii="Times New Roman" w:hAnsi="Times New Roman" w:cs="Times New Roman"/>
          <w:i/>
        </w:rPr>
        <w:t xml:space="preserve">Regime Geral das Infrações Tributárias, </w:t>
      </w:r>
      <w:r w:rsidRPr="00B66DF8">
        <w:rPr>
          <w:rFonts w:ascii="Times New Roman" w:hAnsi="Times New Roman" w:cs="Times New Roman"/>
        </w:rPr>
        <w:t>Cadernos do Instituto de Direito Económico Financeiro e Fiscal,</w:t>
      </w:r>
      <w:r w:rsidRPr="00B66DF8">
        <w:rPr>
          <w:rFonts w:ascii="Times New Roman" w:hAnsi="Times New Roman" w:cs="Times New Roman"/>
          <w:i/>
        </w:rPr>
        <w:t xml:space="preserve"> </w:t>
      </w:r>
      <w:r w:rsidRPr="00B66DF8">
        <w:rPr>
          <w:rFonts w:ascii="Times New Roman" w:hAnsi="Times New Roman" w:cs="Times New Roman"/>
        </w:rPr>
        <w:t>n.º 5, 2010</w:t>
      </w:r>
      <w:r w:rsidRPr="00B66DF8">
        <w:rPr>
          <w:rFonts w:ascii="Times New Roman" w:hAnsi="Times New Roman" w:cs="Times New Roman"/>
          <w:i/>
        </w:rPr>
        <w:t xml:space="preserve">, </w:t>
      </w:r>
      <w:r w:rsidRPr="00B66DF8">
        <w:rPr>
          <w:rFonts w:ascii="Times New Roman" w:hAnsi="Times New Roman" w:cs="Times New Roman"/>
        </w:rPr>
        <w:t>p. 126</w:t>
      </w:r>
    </w:p>
  </w:footnote>
  <w:footnote w:id="7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w:t>
      </w:r>
      <w:r w:rsidRPr="00B66DF8">
        <w:rPr>
          <w:rFonts w:ascii="Times New Roman" w:hAnsi="Times New Roman" w:cs="Times New Roman"/>
          <w:i/>
        </w:rPr>
        <w:t xml:space="preserve">ob. cit., </w:t>
      </w:r>
      <w:r w:rsidRPr="00B66DF8">
        <w:rPr>
          <w:rFonts w:ascii="Times New Roman" w:hAnsi="Times New Roman" w:cs="Times New Roman"/>
        </w:rPr>
        <w:t xml:space="preserve">p. 150. </w:t>
      </w:r>
    </w:p>
    <w:p w:rsidR="00036D26" w:rsidRPr="00B66DF8" w:rsidRDefault="00036D26" w:rsidP="00036D26">
      <w:pPr>
        <w:pStyle w:val="Textodenotaderodap"/>
        <w:spacing w:line="276" w:lineRule="auto"/>
        <w:jc w:val="both"/>
        <w:rPr>
          <w:rFonts w:ascii="Times New Roman" w:hAnsi="Times New Roman" w:cs="Times New Roman"/>
        </w:rPr>
      </w:pPr>
      <w:r w:rsidRPr="00B66DF8">
        <w:rPr>
          <w:rFonts w:ascii="Times New Roman" w:hAnsi="Times New Roman" w:cs="Times New Roman"/>
        </w:rPr>
        <w:t xml:space="preserve">O artigo 32.º da CRP, sob a epígrafe “Garantias do Processo Criminal”, prevê </w:t>
      </w:r>
      <w:r w:rsidRPr="00B66DF8">
        <w:rPr>
          <w:rFonts w:ascii="Times New Roman" w:hAnsi="Times New Roman" w:cs="Times New Roman"/>
          <w:i/>
        </w:rPr>
        <w:t>os mais importantes princípios materiais de processo criminal – a constituição processual criminal</w:t>
      </w:r>
      <w:r w:rsidRPr="00B66DF8">
        <w:rPr>
          <w:rFonts w:ascii="Times New Roman" w:hAnsi="Times New Roman" w:cs="Times New Roman"/>
        </w:rPr>
        <w:t xml:space="preserve">. O sujeito processual, </w:t>
      </w:r>
      <w:r w:rsidRPr="00B66DF8">
        <w:rPr>
          <w:rFonts w:ascii="Times New Roman" w:hAnsi="Times New Roman" w:cs="Times New Roman"/>
          <w:i/>
        </w:rPr>
        <w:t>pelo menos a partir do momento em que assume a qualidade de arguido</w:t>
      </w:r>
      <w:r w:rsidRPr="00B66DF8">
        <w:rPr>
          <w:rFonts w:ascii="Times New Roman" w:hAnsi="Times New Roman" w:cs="Times New Roman"/>
        </w:rPr>
        <w:t xml:space="preserve">, passa a dispor de todas os direitos de defesa enunciados naquele artigo – princípio do acusatório, princípio da presunção de inocência, princípio </w:t>
      </w:r>
      <w:r w:rsidRPr="00B66DF8">
        <w:rPr>
          <w:rFonts w:ascii="Times New Roman" w:hAnsi="Times New Roman" w:cs="Times New Roman"/>
          <w:i/>
        </w:rPr>
        <w:t xml:space="preserve">in dubio pro reo </w:t>
      </w:r>
      <w:r w:rsidRPr="00B66DF8">
        <w:rPr>
          <w:rFonts w:ascii="Times New Roman" w:hAnsi="Times New Roman" w:cs="Times New Roman"/>
        </w:rPr>
        <w:t xml:space="preserve">e direito à não autoincriminação - In José Joaquim Gomes CANOTILHO, Vital MOREIRA, </w:t>
      </w:r>
      <w:r w:rsidRPr="00B66DF8">
        <w:rPr>
          <w:rFonts w:ascii="Times New Roman" w:hAnsi="Times New Roman" w:cs="Times New Roman"/>
          <w:i/>
        </w:rPr>
        <w:t xml:space="preserve">ob. cit., </w:t>
      </w:r>
      <w:r w:rsidRPr="00B66DF8">
        <w:rPr>
          <w:rFonts w:ascii="Times New Roman" w:hAnsi="Times New Roman" w:cs="Times New Roman"/>
        </w:rPr>
        <w:t>pp. 515 e 516</w:t>
      </w:r>
    </w:p>
  </w:footnote>
  <w:footnote w:id="7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JORGE LOPES DE SOUSA e MANUEL SIMAS SANTOS afirmam que </w:t>
      </w:r>
      <w:r w:rsidRPr="00B66DF8">
        <w:rPr>
          <w:rFonts w:ascii="Times New Roman" w:hAnsi="Times New Roman" w:cs="Times New Roman"/>
          <w:i/>
        </w:rPr>
        <w:t xml:space="preserve">a aquisição da notícia do crime tributário pelos órgãos da Administração Tributária não veio substituir a aquisição da mesma notícia pelo Ministério Público, antes acresce a essa notícia </w:t>
      </w:r>
      <w:r w:rsidRPr="00B66DF8">
        <w:rPr>
          <w:rFonts w:ascii="Times New Roman" w:hAnsi="Times New Roman" w:cs="Times New Roman"/>
        </w:rPr>
        <w:t xml:space="preserve">- In Jorge Lopes de SOUSA, Manuel Simas SANTOS, </w:t>
      </w:r>
      <w:r w:rsidRPr="00B66DF8">
        <w:rPr>
          <w:rFonts w:ascii="Times New Roman" w:hAnsi="Times New Roman" w:cs="Times New Roman"/>
          <w:i/>
        </w:rPr>
        <w:t>Regime Geral das Infrações Tributárias, Anotado</w:t>
      </w:r>
      <w:r w:rsidRPr="00B66DF8">
        <w:rPr>
          <w:rFonts w:ascii="Times New Roman" w:hAnsi="Times New Roman" w:cs="Times New Roman"/>
        </w:rPr>
        <w:t>, Áreas Editora, 2.ª ed. 2003, p. 300</w:t>
      </w:r>
    </w:p>
  </w:footnote>
  <w:footnote w:id="7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442/2007, de 14 de Agosto, p. 5</w:t>
      </w:r>
    </w:p>
  </w:footnote>
  <w:footnote w:id="80">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Idem</w:t>
      </w:r>
    </w:p>
  </w:footnote>
  <w:footnote w:id="81">
    <w:p w:rsidR="00036D26" w:rsidRPr="00A007A3"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A007A3">
        <w:rPr>
          <w:rFonts w:ascii="Times New Roman" w:hAnsi="Times New Roman" w:cs="Times New Roman"/>
        </w:rPr>
        <w:t xml:space="preserve"> Art. 40.º/2 da LGT</w:t>
      </w:r>
    </w:p>
  </w:footnote>
  <w:footnote w:id="82">
    <w:p w:rsidR="00036D26" w:rsidRPr="00A007A3"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A007A3">
        <w:rPr>
          <w:rFonts w:ascii="Times New Roman" w:hAnsi="Times New Roman" w:cs="Times New Roman"/>
        </w:rPr>
        <w:t xml:space="preserve"> Art. 263.º/1 do CPP</w:t>
      </w:r>
    </w:p>
  </w:footnote>
  <w:footnote w:id="8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Manuel da Costa ANDRADE, </w:t>
      </w:r>
      <w:r w:rsidRPr="00B66DF8">
        <w:rPr>
          <w:rFonts w:ascii="Times New Roman" w:hAnsi="Times New Roman" w:cs="Times New Roman"/>
          <w:i/>
        </w:rPr>
        <w:t xml:space="preserve">Sobre as Proibições de Prova em Processo Penal, </w:t>
      </w:r>
      <w:r w:rsidRPr="00B66DF8">
        <w:rPr>
          <w:rFonts w:ascii="Times New Roman" w:hAnsi="Times New Roman" w:cs="Times New Roman"/>
        </w:rPr>
        <w:t>Coimbra Editora, 1992, p. 118</w:t>
      </w:r>
    </w:p>
  </w:footnote>
  <w:footnote w:id="84">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343.º/1 e art. 345.º/1 do CPP</w:t>
      </w:r>
    </w:p>
  </w:footnote>
  <w:footnote w:id="8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Manuel da Costa ANDRADE, </w:t>
      </w:r>
      <w:r w:rsidRPr="00B66DF8">
        <w:rPr>
          <w:rFonts w:ascii="Times New Roman" w:hAnsi="Times New Roman" w:cs="Times New Roman"/>
          <w:i/>
        </w:rPr>
        <w:t xml:space="preserve">ob. cit., </w:t>
      </w:r>
      <w:r w:rsidRPr="00B66DF8">
        <w:rPr>
          <w:rFonts w:ascii="Times New Roman" w:hAnsi="Times New Roman" w:cs="Times New Roman"/>
        </w:rPr>
        <w:t>p. 120</w:t>
      </w:r>
    </w:p>
  </w:footnote>
  <w:footnote w:id="86">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61.º/1, al. </w:t>
      </w:r>
      <w:r w:rsidRPr="00B66DF8">
        <w:rPr>
          <w:rFonts w:ascii="Times New Roman" w:hAnsi="Times New Roman" w:cs="Times New Roman"/>
          <w:i/>
          <w:lang w:val="en-US"/>
        </w:rPr>
        <w:t>g)</w:t>
      </w:r>
      <w:r w:rsidRPr="00B66DF8">
        <w:rPr>
          <w:rFonts w:ascii="Times New Roman" w:hAnsi="Times New Roman" w:cs="Times New Roman"/>
          <w:lang w:val="en-US"/>
        </w:rPr>
        <w:t xml:space="preserve"> do CPP</w:t>
      </w:r>
    </w:p>
  </w:footnote>
  <w:footnote w:id="8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Manuel da Costa ANDRADE, </w:t>
      </w:r>
      <w:r w:rsidRPr="00B66DF8">
        <w:rPr>
          <w:rFonts w:ascii="Times New Roman" w:hAnsi="Times New Roman" w:cs="Times New Roman"/>
          <w:i/>
        </w:rPr>
        <w:t xml:space="preserve">ob. cit., </w:t>
      </w:r>
      <w:r w:rsidRPr="00B66DF8">
        <w:rPr>
          <w:rFonts w:ascii="Times New Roman" w:hAnsi="Times New Roman" w:cs="Times New Roman"/>
        </w:rPr>
        <w:t>p. 121</w:t>
      </w:r>
    </w:p>
  </w:footnote>
  <w:footnote w:id="8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Teresa Pizarro BELEZA, “</w:t>
      </w:r>
      <w:r w:rsidRPr="00B66DF8">
        <w:rPr>
          <w:rFonts w:ascii="Times New Roman" w:hAnsi="Times New Roman" w:cs="Times New Roman"/>
          <w:i/>
        </w:rPr>
        <w:t>Tão amigos que nós eramos”: o valor probatório do depoimento do arguido no Processo Penal Português</w:t>
      </w:r>
      <w:r w:rsidRPr="00B66DF8">
        <w:rPr>
          <w:rFonts w:ascii="Times New Roman" w:hAnsi="Times New Roman" w:cs="Times New Roman"/>
        </w:rPr>
        <w:t>, Revista do Ministério Público, N.º 74, Ano 19, Lisboa, 1998, pp. 50-51</w:t>
      </w:r>
    </w:p>
  </w:footnote>
  <w:footnote w:id="8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 xml:space="preserve">Incumbe pois ao arguido decidir como e quando tomar posição no processo. Direito este que decorre do seu próprio estatuto: o de arguido. Tão ampla é a sua esfera de atuação que o próprio silêncio poderá encontrar-se entre as suas opções – </w:t>
      </w:r>
      <w:r w:rsidRPr="00B66DF8">
        <w:rPr>
          <w:rFonts w:ascii="Times New Roman" w:hAnsi="Times New Roman" w:cs="Times New Roman"/>
        </w:rPr>
        <w:t>In</w:t>
      </w:r>
      <w:r w:rsidRPr="00B66DF8">
        <w:rPr>
          <w:rFonts w:ascii="Times New Roman" w:hAnsi="Times New Roman" w:cs="Times New Roman"/>
          <w:i/>
        </w:rPr>
        <w:t xml:space="preserve"> </w:t>
      </w:r>
      <w:r w:rsidRPr="00B66DF8">
        <w:rPr>
          <w:rFonts w:ascii="Times New Roman" w:hAnsi="Times New Roman" w:cs="Times New Roman"/>
        </w:rPr>
        <w:t xml:space="preserve">José de Faria COSTA, </w:t>
      </w:r>
      <w:r w:rsidRPr="00B66DF8">
        <w:rPr>
          <w:rFonts w:ascii="Times New Roman" w:hAnsi="Times New Roman" w:cs="Times New Roman"/>
          <w:i/>
        </w:rPr>
        <w:t>Um Olhar Cruzado entre a Constituição e o Processo Penal,</w:t>
      </w:r>
      <w:r w:rsidRPr="00B66DF8">
        <w:rPr>
          <w:rFonts w:ascii="Times New Roman" w:hAnsi="Times New Roman" w:cs="Times New Roman"/>
        </w:rPr>
        <w:t xml:space="preserve"> in a Justiça nos Dois Lados do Atlântico, Teoria e Prática do Processo Criminal em Portugal e nos Estados Unidos da América – Fundação Luso-Americana para o Desenvolvimento, 1997, p. 195</w:t>
      </w:r>
    </w:p>
  </w:footnote>
  <w:footnote w:id="9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w:t>
      </w:r>
      <w:r w:rsidRPr="00B66DF8">
        <w:rPr>
          <w:rFonts w:ascii="Times New Roman" w:hAnsi="Times New Roman" w:cs="Times New Roman"/>
          <w:i/>
        </w:rPr>
        <w:t xml:space="preserve">ob. cit., </w:t>
      </w:r>
      <w:r w:rsidRPr="00B66DF8">
        <w:rPr>
          <w:rFonts w:ascii="Times New Roman" w:hAnsi="Times New Roman" w:cs="Times New Roman"/>
        </w:rPr>
        <w:t>pp. 74 e 94</w:t>
      </w:r>
      <w:r w:rsidRPr="00B66DF8">
        <w:rPr>
          <w:rFonts w:ascii="Times New Roman" w:hAnsi="Times New Roman" w:cs="Times New Roman"/>
          <w:i/>
        </w:rPr>
        <w:t xml:space="preserve"> </w:t>
      </w:r>
    </w:p>
  </w:footnote>
  <w:footnote w:id="9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32.º/1 do RCPITA</w:t>
      </w:r>
    </w:p>
  </w:footnote>
  <w:footnote w:id="9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Arts. 9.º/1, 28.º, 29.º e 30.º do RCPITA e arts. 31.º/2 e 59 da LGT</w:t>
      </w:r>
    </w:p>
  </w:footnote>
  <w:footnote w:id="9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81, al. </w:t>
      </w:r>
      <w:r w:rsidRPr="00B66DF8">
        <w:rPr>
          <w:rFonts w:ascii="Times New Roman" w:hAnsi="Times New Roman" w:cs="Times New Roman"/>
          <w:i/>
        </w:rPr>
        <w:t xml:space="preserve">b) </w:t>
      </w:r>
      <w:r w:rsidRPr="00B66DF8">
        <w:rPr>
          <w:rFonts w:ascii="Times New Roman" w:hAnsi="Times New Roman" w:cs="Times New Roman"/>
        </w:rPr>
        <w:t>da CRP</w:t>
      </w:r>
    </w:p>
  </w:footnote>
  <w:footnote w:id="9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75.º/2, al. </w:t>
      </w:r>
      <w:r w:rsidRPr="00B66DF8">
        <w:rPr>
          <w:rFonts w:ascii="Times New Roman" w:hAnsi="Times New Roman" w:cs="Times New Roman"/>
          <w:i/>
        </w:rPr>
        <w:t>a)</w:t>
      </w:r>
      <w:r w:rsidRPr="00B66DF8">
        <w:rPr>
          <w:rFonts w:ascii="Times New Roman" w:hAnsi="Times New Roman" w:cs="Times New Roman"/>
        </w:rPr>
        <w:t xml:space="preserve"> da LGT</w:t>
      </w:r>
    </w:p>
  </w:footnote>
  <w:footnote w:id="9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340/2013, de 17 de junho, p. 7</w:t>
      </w:r>
    </w:p>
  </w:footnote>
  <w:footnote w:id="9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Diferentemente do procedimento tributário, o CVM, prevê no seu art. 383.º, um processo de averiguações preliminares. Este processo é anterior à comunicação da notícia do crime, precede a fase de inquérito e resulta do conhecimento de factos que possam vir a ser qualificados como crime, compreendendo a realização do conjunto de diligências necessárias para apurar a possível existência da notícia de um crime contra o mercado de valores mobiliários ou outros instrumentos financeiros (art. 388.º/1 e 2). A existência deste tipo de processo, da competência da Comissão de Mercado de Valores Mobiliários</w:t>
      </w:r>
      <w:r w:rsidRPr="00B66DF8">
        <w:rPr>
          <w:rFonts w:ascii="Times New Roman" w:hAnsi="Times New Roman" w:cs="Times New Roman"/>
          <w:i/>
        </w:rPr>
        <w:t>, constitui uma especialidade da criminalidade económica e financeira</w:t>
      </w:r>
      <w:r w:rsidRPr="00B66DF8">
        <w:rPr>
          <w:rFonts w:ascii="Times New Roman" w:hAnsi="Times New Roman" w:cs="Times New Roman"/>
        </w:rPr>
        <w:t xml:space="preserve">, </w:t>
      </w:r>
      <w:r w:rsidRPr="00B66DF8">
        <w:rPr>
          <w:rFonts w:ascii="Times New Roman" w:hAnsi="Times New Roman" w:cs="Times New Roman"/>
          <w:i/>
        </w:rPr>
        <w:t xml:space="preserve">justifica-se pela dificuldade de identificação daqueles tipos de ilícitos, reclamando-se a intervenção de uma autoridade especializada, composta por um conjunto de meios e uma experiência que os órgãos de polícia criminal e as autoridades judiciárias em regra não têm – </w:t>
      </w:r>
      <w:r w:rsidRPr="00B66DF8">
        <w:rPr>
          <w:rFonts w:ascii="Times New Roman" w:hAnsi="Times New Roman" w:cs="Times New Roman"/>
        </w:rPr>
        <w:t>In Ac. do TC n.º 360/2016, de 8 de Junho, p. 5</w:t>
      </w:r>
    </w:p>
  </w:footnote>
  <w:footnote w:id="9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Aquele direito, ao impedir que alguém – testemunha, suspeito ou arguido - contribua para a sua própria incriminação, seja através da prestação de declarações, de informações ou entrega de documentos autoincriminatórios, atribui a todas as pessoas a legitimidade de se recusarem a declarar contra si mesmas quando orientadas ou pressionadas por agentes da administração da justiça penal. Este direito é aplicável a todo o direito sancionatório, verificando-se igualmente no processo penal por crimes tributários - Cfr. Augusto Silva DIAS, Vânia Costa RAMOS, </w:t>
      </w:r>
      <w:r w:rsidRPr="00B66DF8">
        <w:rPr>
          <w:rFonts w:ascii="Times New Roman" w:hAnsi="Times New Roman" w:cs="Times New Roman"/>
          <w:i/>
        </w:rPr>
        <w:t xml:space="preserve">O Direito à Não Auto-Inculpação (Nemo Tenetur Se Ipsum Accusare) no Processo Penal e Contra-Ordenacional Português, </w:t>
      </w:r>
      <w:r w:rsidRPr="00B66DF8">
        <w:rPr>
          <w:rFonts w:ascii="Times New Roman" w:hAnsi="Times New Roman" w:cs="Times New Roman"/>
        </w:rPr>
        <w:t>Coimbra Editora, 2009, p. 20</w:t>
      </w:r>
    </w:p>
  </w:footnote>
  <w:footnote w:id="9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Jorge de Figueiredo DIAS, Manuel da Costa ANDRADE, Frederico de Lacerda da Costa PINTO, </w:t>
      </w:r>
      <w:r w:rsidRPr="00B66DF8">
        <w:rPr>
          <w:rFonts w:ascii="Times New Roman" w:hAnsi="Times New Roman" w:cs="Times New Roman"/>
          <w:i/>
        </w:rPr>
        <w:t>Supervisão, Direito ao Silêncio e Legalidade da Prova</w:t>
      </w:r>
      <w:r w:rsidRPr="00B66DF8">
        <w:rPr>
          <w:rFonts w:ascii="Times New Roman" w:hAnsi="Times New Roman" w:cs="Times New Roman"/>
        </w:rPr>
        <w:t>, Edições Almedina, 2009, p. 44</w:t>
      </w:r>
    </w:p>
  </w:footnote>
  <w:footnote w:id="99">
    <w:p w:rsidR="00036D26" w:rsidRPr="00497574" w:rsidRDefault="00036D26" w:rsidP="00036D26">
      <w:pPr>
        <w:jc w:val="both"/>
        <w:rPr>
          <w:rFonts w:ascii="Times New Roman" w:hAnsi="Times New Roman" w:cs="Times New Roman"/>
          <w:sz w:val="20"/>
          <w:szCs w:val="20"/>
        </w:rPr>
      </w:pPr>
      <w:r w:rsidRPr="00497574">
        <w:rPr>
          <w:rStyle w:val="Refdenotaderodap"/>
          <w:rFonts w:ascii="Times New Roman" w:hAnsi="Times New Roman" w:cs="Times New Roman"/>
        </w:rPr>
        <w:footnoteRef/>
      </w:r>
      <w:r w:rsidRPr="00497574">
        <w:rPr>
          <w:rFonts w:ascii="Times New Roman" w:hAnsi="Times New Roman" w:cs="Times New Roman"/>
          <w:sz w:val="20"/>
          <w:szCs w:val="20"/>
        </w:rPr>
        <w:t xml:space="preserve"> Cfr. Augusto Silva DIAS, Vânia Costa RAMOS, </w:t>
      </w:r>
      <w:r w:rsidRPr="00497574">
        <w:rPr>
          <w:rFonts w:ascii="Times New Roman" w:hAnsi="Times New Roman" w:cs="Times New Roman"/>
          <w:i/>
          <w:sz w:val="20"/>
          <w:szCs w:val="20"/>
        </w:rPr>
        <w:t>ob. cit.</w:t>
      </w:r>
      <w:r w:rsidRPr="00497574">
        <w:rPr>
          <w:rFonts w:ascii="Times New Roman" w:hAnsi="Times New Roman" w:cs="Times New Roman"/>
          <w:sz w:val="20"/>
          <w:szCs w:val="20"/>
        </w:rPr>
        <w:t>, p. 20</w:t>
      </w:r>
    </w:p>
  </w:footnote>
  <w:footnote w:id="100">
    <w:p w:rsidR="00036D26" w:rsidRDefault="00036D26" w:rsidP="00036D26">
      <w:pPr>
        <w:pStyle w:val="Textodenotaderodap"/>
        <w:spacing w:line="276" w:lineRule="auto"/>
        <w:jc w:val="both"/>
      </w:pPr>
      <w:r w:rsidRPr="00497574">
        <w:rPr>
          <w:rStyle w:val="Refdenotaderodap"/>
          <w:rFonts w:ascii="Times New Roman" w:hAnsi="Times New Roman" w:cs="Times New Roman"/>
        </w:rPr>
        <w:footnoteRef/>
      </w:r>
      <w:r w:rsidRPr="00497574">
        <w:rPr>
          <w:rFonts w:ascii="Times New Roman" w:hAnsi="Times New Roman" w:cs="Times New Roman"/>
        </w:rPr>
        <w:t xml:space="preserve"> Cfr. José Joaquim Gomes CANOTILHO, Vital MOREIRA, </w:t>
      </w:r>
      <w:r w:rsidRPr="00497574">
        <w:rPr>
          <w:rFonts w:ascii="Times New Roman" w:hAnsi="Times New Roman" w:cs="Times New Roman"/>
          <w:i/>
        </w:rPr>
        <w:t xml:space="preserve">ob. cit., </w:t>
      </w:r>
      <w:r w:rsidRPr="00497574">
        <w:rPr>
          <w:rFonts w:ascii="Times New Roman" w:hAnsi="Times New Roman" w:cs="Times New Roman"/>
        </w:rPr>
        <w:t>pp. 391 - 392</w:t>
      </w:r>
    </w:p>
  </w:footnote>
  <w:footnote w:id="10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Acs. do TEDH de 25 de fevereiro de 1993 e de 4 de outubro de 2005 - casos Funke v. França e Shannon v. Reino Unido – In Ac. do TC n.º 340/2013, de 17 de junho</w:t>
      </w:r>
    </w:p>
  </w:footnote>
  <w:footnote w:id="10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Pr>
          <w:rFonts w:ascii="Times New Roman" w:hAnsi="Times New Roman" w:cs="Times New Roman"/>
        </w:rPr>
        <w:t xml:space="preserve"> Logo por este motivo</w:t>
      </w:r>
      <w:r w:rsidRPr="00B66DF8">
        <w:rPr>
          <w:rFonts w:ascii="Times New Roman" w:hAnsi="Times New Roman" w:cs="Times New Roman"/>
        </w:rPr>
        <w:t xml:space="preserve"> teremos de discordar do Acórdão do Tribunal Constitucional n.º 360/2016, de 8 de junho, que decidiu pela não inconstitucionalidade dos artigos 383.º e seguintes do CVM. Como é expressamente referido no texto do artigo já existe o conhecimento de factos que podem vir a ser qualificados como crime</w:t>
      </w:r>
    </w:p>
  </w:footnote>
  <w:footnote w:id="10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Arts. 81.º, al. </w:t>
      </w:r>
      <w:r w:rsidRPr="00C07C8F">
        <w:rPr>
          <w:rFonts w:ascii="Times New Roman" w:hAnsi="Times New Roman" w:cs="Times New Roman"/>
          <w:i/>
        </w:rPr>
        <w:t>b)</w:t>
      </w:r>
      <w:r w:rsidRPr="00B66DF8">
        <w:rPr>
          <w:rFonts w:ascii="Times New Roman" w:hAnsi="Times New Roman" w:cs="Times New Roman"/>
        </w:rPr>
        <w:t xml:space="preserve"> e 266.º/1 da CRP</w:t>
      </w:r>
    </w:p>
  </w:footnote>
  <w:footnote w:id="10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340/2013, de 17 de junho</w:t>
      </w:r>
    </w:p>
  </w:footnote>
  <w:footnote w:id="10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Paulo MARQUES,</w:t>
      </w:r>
      <w:r w:rsidRPr="00B66DF8">
        <w:rPr>
          <w:rFonts w:ascii="Times New Roman" w:hAnsi="Times New Roman" w:cs="Times New Roman"/>
          <w:i/>
        </w:rPr>
        <w:t xml:space="preserve"> ob. cit., </w:t>
      </w:r>
      <w:r w:rsidRPr="00B66DF8">
        <w:rPr>
          <w:rFonts w:ascii="Times New Roman" w:hAnsi="Times New Roman" w:cs="Times New Roman"/>
        </w:rPr>
        <w:t>p. 319</w:t>
      </w:r>
    </w:p>
    <w:p w:rsidR="00036D26" w:rsidRPr="00B66DF8" w:rsidRDefault="00036D26" w:rsidP="00036D26">
      <w:pPr>
        <w:pStyle w:val="Textodenotaderodap"/>
        <w:spacing w:line="276" w:lineRule="auto"/>
        <w:jc w:val="both"/>
        <w:rPr>
          <w:rFonts w:ascii="Times New Roman" w:hAnsi="Times New Roman" w:cs="Times New Roman"/>
        </w:rPr>
      </w:pPr>
      <w:r w:rsidRPr="00B66DF8">
        <w:rPr>
          <w:rFonts w:ascii="Times New Roman" w:hAnsi="Times New Roman" w:cs="Times New Roman"/>
        </w:rPr>
        <w:t>O processo de averiguações previsto no CVM inicia-se por haver uma suspeita da prática de um crime contra o mercado de valores mobiliários ou outros instrumentos financeiros pelo sujeito e tem em vista a realização de um conjunto de diligências para confirmar ou negar a respetiva suspeita – artigo 385.º/1 do CVM. Não é este processo senão uma pré-fase de inquérito, uma fase investigatória, sem observação das garantias de defesa do arguido, com vista à recolha de elementos de prova da prática de um crime e futura remessa para a autoridade judiciária competente – artigo 386.º do CVM</w:t>
      </w:r>
    </w:p>
  </w:footnote>
  <w:footnote w:id="10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MARQUES,</w:t>
      </w:r>
      <w:r w:rsidRPr="00B66DF8">
        <w:rPr>
          <w:rFonts w:ascii="Times New Roman" w:hAnsi="Times New Roman" w:cs="Times New Roman"/>
          <w:i/>
        </w:rPr>
        <w:t xml:space="preserve"> ob. cit., </w:t>
      </w:r>
      <w:r w:rsidRPr="00B66DF8">
        <w:rPr>
          <w:rFonts w:ascii="Times New Roman" w:hAnsi="Times New Roman" w:cs="Times New Roman"/>
        </w:rPr>
        <w:t>p. 319 e Ac. do TC n.º 340/2013, de 17 de junho</w:t>
      </w:r>
    </w:p>
  </w:footnote>
  <w:footnote w:id="10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Idem</w:t>
      </w:r>
      <w:r w:rsidRPr="00B66DF8">
        <w:rPr>
          <w:rFonts w:ascii="Times New Roman" w:hAnsi="Times New Roman" w:cs="Times New Roman"/>
        </w:rPr>
        <w:t>, p. 320</w:t>
      </w:r>
    </w:p>
  </w:footnote>
  <w:footnote w:id="108">
    <w:p w:rsidR="00036D26" w:rsidRPr="00B66DF8" w:rsidRDefault="00036D26" w:rsidP="00036D26">
      <w:pPr>
        <w:pStyle w:val="Textodenotaderodap"/>
        <w:spacing w:line="276" w:lineRule="auto"/>
        <w:jc w:val="both"/>
        <w:rPr>
          <w:rFonts w:ascii="Times New Roman" w:hAnsi="Times New Roman" w:cs="Times New Roman"/>
          <w:b/>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Augusto Silva DIAS, Vânia Costa RAMOS,</w:t>
      </w:r>
      <w:r w:rsidRPr="00B66DF8">
        <w:rPr>
          <w:rFonts w:ascii="Times New Roman" w:hAnsi="Times New Roman" w:cs="Times New Roman"/>
          <w:i/>
        </w:rPr>
        <w:t xml:space="preserve"> ob. cit</w:t>
      </w:r>
      <w:r w:rsidRPr="00B66DF8">
        <w:rPr>
          <w:rFonts w:ascii="Times New Roman" w:hAnsi="Times New Roman" w:cs="Times New Roman"/>
        </w:rPr>
        <w:t xml:space="preserve">., pp. 52 e 54. Na mesma linha, Liliana da Silva de Sá propõe a </w:t>
      </w:r>
      <w:r w:rsidRPr="00B66DF8">
        <w:rPr>
          <w:rFonts w:ascii="Times New Roman" w:hAnsi="Times New Roman" w:cs="Times New Roman"/>
          <w:i/>
        </w:rPr>
        <w:t xml:space="preserve">separação do procedimento de liquidação do processo fiscal sancionador, impedindo que os funcionários administrativos, que obtêm informações no primeiro, exerçam atividades instrutórias no segundo – </w:t>
      </w:r>
      <w:r w:rsidRPr="00B66DF8">
        <w:rPr>
          <w:rFonts w:ascii="Times New Roman" w:hAnsi="Times New Roman" w:cs="Times New Roman"/>
        </w:rPr>
        <w:t xml:space="preserve">in </w:t>
      </w:r>
      <w:r w:rsidRPr="00B66DF8">
        <w:rPr>
          <w:rFonts w:ascii="Times New Roman" w:hAnsi="Times New Roman" w:cs="Times New Roman"/>
          <w:i/>
        </w:rPr>
        <w:t>O dever de cooperação do contribuinte e o direito ao silêncio do arguido</w:t>
      </w:r>
      <w:r w:rsidRPr="00B66DF8">
        <w:rPr>
          <w:rFonts w:ascii="Times New Roman" w:hAnsi="Times New Roman" w:cs="Times New Roman"/>
        </w:rPr>
        <w:t>, Ciência e Técnica Fiscal, n.º 414, Ministério das Finanças, Centro de Estudos Fiscais, Julho-Dezembro, Lisboa, 2004, pp. 210-211</w:t>
      </w:r>
    </w:p>
  </w:footnote>
  <w:footnote w:id="10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Jorge de Figueiredo DIAS, Manuel da Costa ANDRADE, Frederico de Lacerda da Costa PINTO, </w:t>
      </w:r>
      <w:r w:rsidRPr="00B66DF8">
        <w:rPr>
          <w:rFonts w:ascii="Times New Roman" w:hAnsi="Times New Roman" w:cs="Times New Roman"/>
          <w:i/>
        </w:rPr>
        <w:t>ob. cit.,</w:t>
      </w:r>
      <w:r w:rsidRPr="00B66DF8">
        <w:rPr>
          <w:rFonts w:ascii="Times New Roman" w:hAnsi="Times New Roman" w:cs="Times New Roman"/>
        </w:rPr>
        <w:t xml:space="preserve"> pp. 106-107</w:t>
      </w:r>
    </w:p>
  </w:footnote>
  <w:footnote w:id="11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w:t>
      </w:r>
      <w:r w:rsidRPr="00B66DF8">
        <w:rPr>
          <w:rFonts w:ascii="Times New Roman" w:hAnsi="Times New Roman" w:cs="Times New Roman"/>
          <w:i/>
        </w:rPr>
        <w:t>Idem</w:t>
      </w:r>
      <w:r w:rsidRPr="00B66DF8">
        <w:rPr>
          <w:rFonts w:ascii="Times New Roman" w:hAnsi="Times New Roman" w:cs="Times New Roman"/>
        </w:rPr>
        <w:t>, p. 319</w:t>
      </w:r>
    </w:p>
  </w:footnote>
  <w:footnote w:id="11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Jorge de Figueiredo DIAS, Manuel da Costa ANDRADE, Frederico de Lacerda da Costa PINTO, </w:t>
      </w:r>
      <w:r w:rsidRPr="00B66DF8">
        <w:rPr>
          <w:rFonts w:ascii="Times New Roman" w:hAnsi="Times New Roman" w:cs="Times New Roman"/>
          <w:i/>
        </w:rPr>
        <w:t>ob. cit.,</w:t>
      </w:r>
      <w:r w:rsidRPr="00B66DF8">
        <w:rPr>
          <w:rFonts w:ascii="Times New Roman" w:hAnsi="Times New Roman" w:cs="Times New Roman"/>
        </w:rPr>
        <w:t xml:space="preserve"> p. 32</w:t>
      </w:r>
    </w:p>
  </w:footnote>
  <w:footnote w:id="11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Jorge de Figueiredo DIAS, Manuel da Costa ANDRADE, Frederico de Lacerda da Costa PINTO, </w:t>
      </w:r>
      <w:r w:rsidRPr="00B66DF8">
        <w:rPr>
          <w:rFonts w:ascii="Times New Roman" w:hAnsi="Times New Roman" w:cs="Times New Roman"/>
          <w:i/>
        </w:rPr>
        <w:t>ob. cit.,</w:t>
      </w:r>
      <w:r w:rsidRPr="00B66DF8">
        <w:rPr>
          <w:rFonts w:ascii="Times New Roman" w:hAnsi="Times New Roman" w:cs="Times New Roman"/>
        </w:rPr>
        <w:t xml:space="preserve"> pp. 33 e 108</w:t>
      </w:r>
    </w:p>
  </w:footnote>
  <w:footnote w:id="11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Ac. do TC n.º 340/2013, de 17 de junho</w:t>
      </w:r>
    </w:p>
  </w:footnote>
  <w:footnote w:id="11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Joaquim Gomes CANOTILHO, Vital MOREIRA, </w:t>
      </w:r>
      <w:r w:rsidRPr="00B66DF8">
        <w:rPr>
          <w:rFonts w:ascii="Times New Roman" w:hAnsi="Times New Roman" w:cs="Times New Roman"/>
          <w:i/>
        </w:rPr>
        <w:t xml:space="preserve">ob. cit., </w:t>
      </w:r>
      <w:r w:rsidRPr="00B66DF8">
        <w:rPr>
          <w:rFonts w:ascii="Times New Roman" w:hAnsi="Times New Roman" w:cs="Times New Roman"/>
        </w:rPr>
        <w:t>p. 392</w:t>
      </w:r>
    </w:p>
  </w:footnote>
  <w:footnote w:id="11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103.º/1 da CRP e Ac. do </w:t>
      </w:r>
      <w:r>
        <w:rPr>
          <w:rFonts w:ascii="Times New Roman" w:hAnsi="Times New Roman" w:cs="Times New Roman"/>
        </w:rPr>
        <w:t>TC n.º 340/2013, de 17 de junho</w:t>
      </w:r>
    </w:p>
  </w:footnote>
  <w:footnote w:id="116">
    <w:p w:rsidR="00036D26" w:rsidRPr="00B66DF8" w:rsidRDefault="00036D26" w:rsidP="00036D26">
      <w:pPr>
        <w:pStyle w:val="Textodenotaderodap"/>
        <w:spacing w:line="276" w:lineRule="auto"/>
        <w:jc w:val="both"/>
        <w:rPr>
          <w:rFonts w:ascii="Times New Roman" w:hAnsi="Times New Roman" w:cs="Times New Roman"/>
          <w:lang w:val="en-US"/>
        </w:rPr>
      </w:pPr>
      <w:r w:rsidRPr="00B66DF8">
        <w:rPr>
          <w:rStyle w:val="Refdenotaderodap"/>
          <w:rFonts w:ascii="Times New Roman" w:hAnsi="Times New Roman" w:cs="Times New Roman"/>
        </w:rPr>
        <w:footnoteRef/>
      </w:r>
      <w:r w:rsidRPr="00B66DF8">
        <w:rPr>
          <w:rFonts w:ascii="Times New Roman" w:hAnsi="Times New Roman" w:cs="Times New Roman"/>
          <w:lang w:val="en-US"/>
        </w:rPr>
        <w:t xml:space="preserve"> Art. 81.º, al. </w:t>
      </w:r>
      <w:r w:rsidRPr="00767DC2">
        <w:rPr>
          <w:rFonts w:ascii="Times New Roman" w:hAnsi="Times New Roman" w:cs="Times New Roman"/>
          <w:i/>
          <w:lang w:val="en-US"/>
        </w:rPr>
        <w:t>b)</w:t>
      </w:r>
      <w:r w:rsidRPr="00B66DF8">
        <w:rPr>
          <w:rFonts w:ascii="Times New Roman" w:hAnsi="Times New Roman" w:cs="Times New Roman"/>
          <w:lang w:val="en-US"/>
        </w:rPr>
        <w:t xml:space="preserve"> da CRP</w:t>
      </w:r>
    </w:p>
  </w:footnote>
  <w:footnote w:id="117">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340/2013, de 17 de junho</w:t>
      </w:r>
    </w:p>
  </w:footnote>
  <w:footnote w:id="118">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Joaquim Gomes CANOTILHO, Vital MOREIRA, </w:t>
      </w:r>
      <w:r w:rsidRPr="00B66DF8">
        <w:rPr>
          <w:rFonts w:ascii="Times New Roman" w:hAnsi="Times New Roman" w:cs="Times New Roman"/>
          <w:i/>
        </w:rPr>
        <w:t xml:space="preserve">ob. cit., </w:t>
      </w:r>
      <w:r w:rsidRPr="00B66DF8">
        <w:rPr>
          <w:rFonts w:ascii="Times New Roman" w:hAnsi="Times New Roman" w:cs="Times New Roman"/>
        </w:rPr>
        <w:t>p. 392</w:t>
      </w:r>
    </w:p>
  </w:footnote>
  <w:footnote w:id="11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340/2013, de 17 de junho, p. 9</w:t>
      </w:r>
    </w:p>
  </w:footnote>
  <w:footnote w:id="12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José Joaquim Gomes CANOTILHO, Vital MOREIRA, </w:t>
      </w:r>
      <w:r w:rsidRPr="00B66DF8">
        <w:rPr>
          <w:rFonts w:ascii="Times New Roman" w:hAnsi="Times New Roman" w:cs="Times New Roman"/>
          <w:i/>
        </w:rPr>
        <w:t xml:space="preserve">ob. cit., </w:t>
      </w:r>
      <w:r w:rsidRPr="00B66DF8">
        <w:rPr>
          <w:rFonts w:ascii="Times New Roman" w:hAnsi="Times New Roman" w:cs="Times New Roman"/>
        </w:rPr>
        <w:t>p. 393</w:t>
      </w:r>
    </w:p>
  </w:footnote>
  <w:footnote w:id="12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Parece-nos ser a solução prevista no CVM nos artigos 383.º e seguintes, excessiva e desadequada, violadora da liberdade de declaração e autodeterminação do sujeito. </w:t>
      </w:r>
      <w:r w:rsidRPr="00B66DF8">
        <w:rPr>
          <w:rFonts w:ascii="Times New Roman" w:hAnsi="Times New Roman" w:cs="Times New Roman"/>
          <w:i/>
        </w:rPr>
        <w:t>Não pode o sistema superar</w:t>
      </w:r>
      <w:r w:rsidRPr="00B66DF8">
        <w:rPr>
          <w:rFonts w:ascii="Times New Roman" w:hAnsi="Times New Roman" w:cs="Times New Roman"/>
        </w:rPr>
        <w:t xml:space="preserve"> as suas dificuldades de identificação de ilícitos </w:t>
      </w:r>
      <w:r w:rsidRPr="00B66DF8">
        <w:rPr>
          <w:rFonts w:ascii="Times New Roman" w:hAnsi="Times New Roman" w:cs="Times New Roman"/>
          <w:i/>
        </w:rPr>
        <w:t>à custa do desrespeito do valor autónomo da pessoa.</w:t>
      </w:r>
      <w:r w:rsidRPr="00B66DF8">
        <w:rPr>
          <w:rFonts w:ascii="Times New Roman" w:hAnsi="Times New Roman" w:cs="Times New Roman"/>
        </w:rPr>
        <w:t xml:space="preserve"> </w:t>
      </w:r>
      <w:r w:rsidRPr="00B66DF8">
        <w:rPr>
          <w:rFonts w:ascii="Times New Roman" w:hAnsi="Times New Roman" w:cs="Times New Roman"/>
          <w:i/>
        </w:rPr>
        <w:t xml:space="preserve">Os princípios fundamentais funcionam como limites do pensamento da danosidade social em direito penal. </w:t>
      </w:r>
      <w:r w:rsidRPr="00B66DF8">
        <w:rPr>
          <w:rFonts w:ascii="Times New Roman" w:hAnsi="Times New Roman" w:cs="Times New Roman"/>
        </w:rPr>
        <w:t xml:space="preserve">Não pode a complexidade e especialidade da criminalidade económica justificar a redução da pessoa em mero objeto ou instrumento contra si própria, negando-se o seu direito a um processo equitativo e as garantias de defesa dos cidadãos – In Manuel da Costa ANDRADE, </w:t>
      </w:r>
      <w:r w:rsidRPr="00B66DF8">
        <w:rPr>
          <w:rFonts w:ascii="Times New Roman" w:hAnsi="Times New Roman" w:cs="Times New Roman"/>
          <w:i/>
        </w:rPr>
        <w:t xml:space="preserve">ob. cit., </w:t>
      </w:r>
      <w:r w:rsidRPr="00B66DF8">
        <w:rPr>
          <w:rFonts w:ascii="Times New Roman" w:hAnsi="Times New Roman" w:cs="Times New Roman"/>
        </w:rPr>
        <w:t xml:space="preserve">pp. 118 e 126 </w:t>
      </w:r>
    </w:p>
    <w:p w:rsidR="00036D26" w:rsidRPr="00B66DF8" w:rsidRDefault="00036D26" w:rsidP="00036D26">
      <w:pPr>
        <w:pStyle w:val="Textodenotaderodap"/>
        <w:spacing w:line="276" w:lineRule="auto"/>
        <w:jc w:val="both"/>
        <w:rPr>
          <w:rFonts w:ascii="Times New Roman" w:hAnsi="Times New Roman" w:cs="Times New Roman"/>
        </w:rPr>
      </w:pPr>
      <w:r w:rsidRPr="00B66DF8">
        <w:rPr>
          <w:rFonts w:ascii="Times New Roman" w:hAnsi="Times New Roman" w:cs="Times New Roman"/>
        </w:rPr>
        <w:t xml:space="preserve">Verificados indícios da prática de um crime, a solução não poderá ser outra senão a sua comunicação ao Ministério Público para instauração do inquérito e início das investigações. Uma forma de ultrapassar as dificuldades de determinação destes ilícitos e complexidade das matérias, sem aniquilar os direitos de defesa do arguido, é através da aplicação do mesmo regime do processo penal tributário, previsto no Regime Geral das Infrações Tributárias. Adquirida a notícia do crime, </w:t>
      </w:r>
      <w:r w:rsidRPr="00B66DF8">
        <w:rPr>
          <w:rFonts w:ascii="Times New Roman" w:hAnsi="Times New Roman" w:cs="Times New Roman"/>
          <w:i/>
        </w:rPr>
        <w:t xml:space="preserve">em razão da especialidade e complexidade técnico-tributária - </w:t>
      </w:r>
      <w:r w:rsidRPr="00B66DF8">
        <w:rPr>
          <w:rFonts w:ascii="Times New Roman" w:hAnsi="Times New Roman" w:cs="Times New Roman"/>
        </w:rPr>
        <w:t xml:space="preserve">In Germano Marques da SILVA, </w:t>
      </w:r>
      <w:r w:rsidRPr="00B66DF8">
        <w:rPr>
          <w:rFonts w:ascii="Times New Roman" w:hAnsi="Times New Roman" w:cs="Times New Roman"/>
          <w:i/>
        </w:rPr>
        <w:t xml:space="preserve">ob. cit., </w:t>
      </w:r>
      <w:r w:rsidRPr="00B66DF8">
        <w:rPr>
          <w:rFonts w:ascii="Times New Roman" w:hAnsi="Times New Roman" w:cs="Times New Roman"/>
        </w:rPr>
        <w:t>p. 157 -</w:t>
      </w:r>
      <w:r w:rsidRPr="00B66DF8">
        <w:rPr>
          <w:rFonts w:ascii="Times New Roman" w:hAnsi="Times New Roman" w:cs="Times New Roman"/>
          <w:i/>
        </w:rPr>
        <w:t xml:space="preserve">, </w:t>
      </w:r>
      <w:r w:rsidRPr="00B66DF8">
        <w:rPr>
          <w:rFonts w:ascii="Times New Roman" w:hAnsi="Times New Roman" w:cs="Times New Roman"/>
        </w:rPr>
        <w:t xml:space="preserve">atribui-se aos órgãos da Administração Tributária e aos da Segurança Social, durante o inquérito, dos poderes e funções que o Código de Processo Penal confere aos órgãos e às autoridades de polícia criminal, presumindo-se-lhes também delegada a prática dos atos que o Ministério Público pode atribuir àquelas entidades (artigo 40.º/2 e artigo 270.º /1 CPP). </w:t>
      </w:r>
    </w:p>
    <w:p w:rsidR="00036D26" w:rsidRPr="00B66DF8" w:rsidRDefault="00036D26" w:rsidP="00036D26">
      <w:pPr>
        <w:pStyle w:val="Textodenotaderodap"/>
        <w:spacing w:line="276" w:lineRule="auto"/>
        <w:jc w:val="both"/>
        <w:rPr>
          <w:rFonts w:ascii="Times New Roman" w:hAnsi="Times New Roman" w:cs="Times New Roman"/>
        </w:rPr>
      </w:pPr>
      <w:r w:rsidRPr="00B66DF8">
        <w:rPr>
          <w:rFonts w:ascii="Times New Roman" w:hAnsi="Times New Roman" w:cs="Times New Roman"/>
        </w:rPr>
        <w:t xml:space="preserve">Assim, </w:t>
      </w:r>
      <w:r w:rsidRPr="00B66DF8">
        <w:rPr>
          <w:rFonts w:ascii="Times New Roman" w:hAnsi="Times New Roman" w:cs="Times New Roman"/>
          <w:i/>
        </w:rPr>
        <w:t xml:space="preserve">sem prejuízo da direção que lhe é reservada, o Ministério Público pode incumbir os órgãos de polícia criminal, </w:t>
      </w:r>
      <w:r w:rsidRPr="00B66DF8">
        <w:rPr>
          <w:rFonts w:ascii="Times New Roman" w:hAnsi="Times New Roman" w:cs="Times New Roman"/>
        </w:rPr>
        <w:t xml:space="preserve">da Administração Tributária e da Segurança Social </w:t>
      </w:r>
      <w:r w:rsidRPr="00B66DF8">
        <w:rPr>
          <w:rFonts w:ascii="Times New Roman" w:hAnsi="Times New Roman" w:cs="Times New Roman"/>
          <w:i/>
        </w:rPr>
        <w:t xml:space="preserve">de praticarem todos os atos de inquérito, isto é, o inquérito, enquanto conjunto de diligências de investigação e recolha de provas - </w:t>
      </w:r>
      <w:r w:rsidRPr="00B66DF8">
        <w:rPr>
          <w:rFonts w:ascii="Times New Roman" w:hAnsi="Times New Roman" w:cs="Times New Roman"/>
        </w:rPr>
        <w:t>In Germano Marques da SILVA</w:t>
      </w:r>
      <w:r w:rsidRPr="00B66DF8">
        <w:rPr>
          <w:rFonts w:ascii="Times New Roman" w:hAnsi="Times New Roman" w:cs="Times New Roman"/>
          <w:i/>
        </w:rPr>
        <w:t>, Direito Processual Penal Português – Do Procedimento (Marcha do Processo), Vol. III</w:t>
      </w:r>
      <w:r w:rsidRPr="00B66DF8">
        <w:rPr>
          <w:rFonts w:ascii="Times New Roman" w:hAnsi="Times New Roman" w:cs="Times New Roman"/>
        </w:rPr>
        <w:t>, Universidade Católica Editora, 2014, p. 78 -</w:t>
      </w:r>
      <w:r w:rsidRPr="00B66DF8">
        <w:rPr>
          <w:rFonts w:ascii="Times New Roman" w:hAnsi="Times New Roman" w:cs="Times New Roman"/>
          <w:i/>
        </w:rPr>
        <w:t xml:space="preserve">, </w:t>
      </w:r>
      <w:r w:rsidRPr="00B66DF8">
        <w:rPr>
          <w:rFonts w:ascii="Times New Roman" w:hAnsi="Times New Roman" w:cs="Times New Roman"/>
        </w:rPr>
        <w:t xml:space="preserve">permitindo, deste modo, que haja uma correta </w:t>
      </w:r>
      <w:r w:rsidRPr="00B66DF8">
        <w:rPr>
          <w:rFonts w:ascii="Times New Roman" w:hAnsi="Times New Roman" w:cs="Times New Roman"/>
          <w:i/>
        </w:rPr>
        <w:t xml:space="preserve">análise dos aspetos jurídico-económicos, nomeadamente o cruzamento de dados contabilísticos e financeiros, e uma correta interpretação dos conceitos técnicos que integram aqueles tipos de ilícito – </w:t>
      </w:r>
      <w:r w:rsidRPr="00B66DF8">
        <w:rPr>
          <w:rFonts w:ascii="Times New Roman" w:hAnsi="Times New Roman" w:cs="Times New Roman"/>
        </w:rPr>
        <w:t>In Ac. do TC n.º 360/2016, de 8 de junho -</w:t>
      </w:r>
      <w:r w:rsidRPr="00B66DF8">
        <w:rPr>
          <w:rFonts w:ascii="Times New Roman" w:hAnsi="Times New Roman" w:cs="Times New Roman"/>
          <w:i/>
        </w:rPr>
        <w:t xml:space="preserve">, </w:t>
      </w:r>
      <w:r w:rsidRPr="00B66DF8">
        <w:rPr>
          <w:rFonts w:ascii="Times New Roman" w:hAnsi="Times New Roman" w:cs="Times New Roman"/>
        </w:rPr>
        <w:t>sem restringir um dos mais importantes direitos do processo penal português, o direito à liberdade de declaração, na sua vertente positiva e negativa</w:t>
      </w:r>
      <w:r w:rsidRPr="00B66DF8">
        <w:rPr>
          <w:rFonts w:ascii="Times New Roman" w:hAnsi="Times New Roman" w:cs="Times New Roman"/>
          <w:i/>
        </w:rPr>
        <w:t xml:space="preserve">. </w:t>
      </w:r>
    </w:p>
  </w:footnote>
  <w:footnote w:id="12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Ac. do TC n.º 340/2013, de 17 de junho, p. 9</w:t>
      </w:r>
    </w:p>
  </w:footnote>
  <w:footnote w:id="12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Augusto Silva DIAS, Vânia Costa RAMOS,</w:t>
      </w:r>
      <w:r w:rsidRPr="00B66DF8">
        <w:rPr>
          <w:rFonts w:ascii="Times New Roman" w:hAnsi="Times New Roman" w:cs="Times New Roman"/>
          <w:i/>
        </w:rPr>
        <w:t xml:space="preserve"> ob. cit</w:t>
      </w:r>
      <w:r w:rsidRPr="00B66DF8">
        <w:rPr>
          <w:rFonts w:ascii="Times New Roman" w:hAnsi="Times New Roman" w:cs="Times New Roman"/>
        </w:rPr>
        <w:t>., p. 56</w:t>
      </w:r>
    </w:p>
  </w:footnote>
  <w:footnote w:id="124">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Pr>
          <w:rFonts w:ascii="Times New Roman" w:hAnsi="Times New Roman" w:cs="Times New Roman"/>
        </w:rPr>
        <w:t xml:space="preserve"> In </w:t>
      </w:r>
      <w:r w:rsidRPr="00B66DF8">
        <w:rPr>
          <w:rFonts w:ascii="Times New Roman" w:hAnsi="Times New Roman" w:cs="Times New Roman"/>
        </w:rPr>
        <w:t>Augusto Silva DIAS, Vânia Costa RAMOS,</w:t>
      </w:r>
      <w:r w:rsidRPr="00B66DF8">
        <w:rPr>
          <w:rFonts w:ascii="Times New Roman" w:hAnsi="Times New Roman" w:cs="Times New Roman"/>
          <w:i/>
        </w:rPr>
        <w:t xml:space="preserve"> ob. cit</w:t>
      </w:r>
      <w:r w:rsidRPr="00B66DF8">
        <w:rPr>
          <w:rFonts w:ascii="Times New Roman" w:hAnsi="Times New Roman" w:cs="Times New Roman"/>
        </w:rPr>
        <w:t>.,</w:t>
      </w:r>
      <w:r w:rsidRPr="00B66DF8">
        <w:rPr>
          <w:rFonts w:ascii="Times New Roman" w:hAnsi="Times New Roman" w:cs="Times New Roman"/>
          <w:i/>
        </w:rPr>
        <w:t xml:space="preserve"> </w:t>
      </w:r>
      <w:r w:rsidRPr="00B66DF8">
        <w:rPr>
          <w:rFonts w:ascii="Times New Roman" w:hAnsi="Times New Roman" w:cs="Times New Roman"/>
        </w:rPr>
        <w:t>p. 56</w:t>
      </w:r>
    </w:p>
  </w:footnote>
  <w:footnote w:id="125">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w:t>
      </w:r>
      <w:r w:rsidRPr="00B66DF8">
        <w:rPr>
          <w:rFonts w:ascii="Times New Roman" w:hAnsi="Times New Roman" w:cs="Times New Roman"/>
          <w:i/>
        </w:rPr>
        <w:t>ob. cit</w:t>
      </w:r>
      <w:r w:rsidRPr="00B66DF8">
        <w:rPr>
          <w:rFonts w:ascii="Times New Roman" w:hAnsi="Times New Roman" w:cs="Times New Roman"/>
        </w:rPr>
        <w:t>., p. 178</w:t>
      </w:r>
    </w:p>
  </w:footnote>
  <w:footnote w:id="126">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w:t>
      </w:r>
      <w:r w:rsidRPr="00B66DF8">
        <w:rPr>
          <w:rFonts w:ascii="Times New Roman" w:hAnsi="Times New Roman" w:cs="Times New Roman"/>
          <w:i/>
        </w:rPr>
        <w:t>ob. cit.,</w:t>
      </w:r>
      <w:r w:rsidRPr="00B66DF8">
        <w:rPr>
          <w:rFonts w:ascii="Times New Roman" w:hAnsi="Times New Roman" w:cs="Times New Roman"/>
        </w:rPr>
        <w:t xml:space="preserve"> 178 e 180</w:t>
      </w:r>
    </w:p>
  </w:footnote>
  <w:footnote w:id="127">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Manuel Simas SANTOS e Manuel LEAL-HENRIQUES, </w:t>
      </w:r>
      <w:r w:rsidRPr="00B66DF8">
        <w:rPr>
          <w:rFonts w:ascii="Times New Roman" w:hAnsi="Times New Roman" w:cs="Times New Roman"/>
          <w:i/>
        </w:rPr>
        <w:t xml:space="preserve">Código de Processo Penal Anotado do 1.º ao 240.º artigos, Volume I, </w:t>
      </w:r>
      <w:r>
        <w:rPr>
          <w:rFonts w:ascii="Times New Roman" w:hAnsi="Times New Roman" w:cs="Times New Roman"/>
        </w:rPr>
        <w:t>Editora Rei dos Livros, 3.ª ed.</w:t>
      </w:r>
      <w:r w:rsidRPr="00B66DF8">
        <w:rPr>
          <w:rFonts w:ascii="Times New Roman" w:hAnsi="Times New Roman" w:cs="Times New Roman"/>
        </w:rPr>
        <w:t>, 2008, p. 821</w:t>
      </w:r>
    </w:p>
  </w:footnote>
  <w:footnote w:id="128">
    <w:p w:rsidR="00036D26" w:rsidRPr="00B66DF8" w:rsidRDefault="00036D26" w:rsidP="00036D26">
      <w:pPr>
        <w:pStyle w:val="Textodenotaderodap"/>
        <w:spacing w:line="276" w:lineRule="auto"/>
        <w:jc w:val="both"/>
        <w:rPr>
          <w:rFonts w:ascii="Times New Roman" w:hAnsi="Times New Roman" w:cs="Times New Roman"/>
          <w:i/>
        </w:rPr>
      </w:pPr>
      <w:r w:rsidRPr="00B66DF8">
        <w:rPr>
          <w:rStyle w:val="Refdenotaderodap"/>
          <w:rFonts w:ascii="Times New Roman" w:hAnsi="Times New Roman" w:cs="Times New Roman"/>
        </w:rPr>
        <w:footnoteRef/>
      </w:r>
      <w:r w:rsidRPr="00B66DF8">
        <w:rPr>
          <w:rFonts w:ascii="Times New Roman" w:hAnsi="Times New Roman" w:cs="Times New Roman"/>
        </w:rPr>
        <w:t xml:space="preserve">Cfr. Paulo Pinto de ALBUQUERQUE, </w:t>
      </w:r>
      <w:r w:rsidRPr="00B66DF8">
        <w:rPr>
          <w:rFonts w:ascii="Times New Roman" w:hAnsi="Times New Roman" w:cs="Times New Roman"/>
          <w:i/>
        </w:rPr>
        <w:t xml:space="preserve">Comentário do Código de Processo Penal à luz da Constituição da República e da Convenção Europeia dos Direitos do Homem, Universidade </w:t>
      </w:r>
      <w:r>
        <w:rPr>
          <w:rFonts w:ascii="Times New Roman" w:hAnsi="Times New Roman" w:cs="Times New Roman"/>
        </w:rPr>
        <w:t>Católica Editora, 4.ª ed.</w:t>
      </w:r>
      <w:r w:rsidRPr="00B66DF8">
        <w:rPr>
          <w:rFonts w:ascii="Times New Roman" w:hAnsi="Times New Roman" w:cs="Times New Roman"/>
        </w:rPr>
        <w:t xml:space="preserve">. atualizada, p. 332 </w:t>
      </w:r>
      <w:r w:rsidRPr="00B66DF8">
        <w:rPr>
          <w:rFonts w:ascii="Times New Roman" w:hAnsi="Times New Roman" w:cs="Times New Roman"/>
          <w:i/>
        </w:rPr>
        <w:t xml:space="preserve">   </w:t>
      </w:r>
    </w:p>
  </w:footnote>
  <w:footnote w:id="129">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Cfr. Paulo Pinto de ALBUQUERQUE, </w:t>
      </w:r>
      <w:r w:rsidRPr="00B66DF8">
        <w:rPr>
          <w:rFonts w:ascii="Times New Roman" w:hAnsi="Times New Roman" w:cs="Times New Roman"/>
          <w:i/>
        </w:rPr>
        <w:t xml:space="preserve">ob. cit., </w:t>
      </w:r>
      <w:r w:rsidRPr="00B66DF8">
        <w:rPr>
          <w:rFonts w:ascii="Times New Roman" w:hAnsi="Times New Roman" w:cs="Times New Roman"/>
        </w:rPr>
        <w:t>pp. 335 a 337</w:t>
      </w:r>
    </w:p>
  </w:footnote>
  <w:footnote w:id="130">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Art. 124.º do CPP</w:t>
      </w:r>
    </w:p>
  </w:footnote>
  <w:footnote w:id="131">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José Santos CABRAL, </w:t>
      </w:r>
      <w:r w:rsidRPr="00B66DF8">
        <w:rPr>
          <w:rFonts w:ascii="Times New Roman" w:hAnsi="Times New Roman" w:cs="Times New Roman"/>
          <w:i/>
        </w:rPr>
        <w:t>Prova Indiciária e as Novas Formas de Criminalidade</w:t>
      </w:r>
      <w:r w:rsidRPr="00B66DF8">
        <w:rPr>
          <w:rFonts w:ascii="Times New Roman" w:hAnsi="Times New Roman" w:cs="Times New Roman"/>
        </w:rPr>
        <w:t>, Julgar n.º 17, 2012, Coimbra Editora, p. 13</w:t>
      </w:r>
    </w:p>
  </w:footnote>
  <w:footnote w:id="132">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Germano Marques da SILVA, ob. cit., p. 180</w:t>
      </w:r>
    </w:p>
  </w:footnote>
  <w:footnote w:id="133">
    <w:p w:rsidR="00036D26" w:rsidRPr="00B66DF8"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In Jorge de Figueiredo DIAS, Manuel da Costa ANDRADE, Frederico de Lacerda da Costa PINTO, </w:t>
      </w:r>
      <w:r w:rsidRPr="00B66DF8">
        <w:rPr>
          <w:rFonts w:ascii="Times New Roman" w:hAnsi="Times New Roman" w:cs="Times New Roman"/>
          <w:i/>
        </w:rPr>
        <w:t>ob. cit.,</w:t>
      </w:r>
      <w:r w:rsidRPr="00B66DF8">
        <w:rPr>
          <w:rFonts w:ascii="Times New Roman" w:hAnsi="Times New Roman" w:cs="Times New Roman"/>
        </w:rPr>
        <w:t xml:space="preserve"> p. 49</w:t>
      </w:r>
    </w:p>
  </w:footnote>
  <w:footnote w:id="134">
    <w:p w:rsidR="00036D26" w:rsidRPr="00ED1775" w:rsidRDefault="00036D26" w:rsidP="00036D26">
      <w:pPr>
        <w:pStyle w:val="Textodenotaderodap"/>
        <w:spacing w:line="276" w:lineRule="auto"/>
        <w:jc w:val="both"/>
        <w:rPr>
          <w:rFonts w:ascii="Times New Roman" w:hAnsi="Times New Roman" w:cs="Times New Roman"/>
        </w:rPr>
      </w:pPr>
      <w:r w:rsidRPr="00B66DF8">
        <w:rPr>
          <w:rStyle w:val="Refdenotaderodap"/>
          <w:rFonts w:ascii="Times New Roman" w:hAnsi="Times New Roman" w:cs="Times New Roman"/>
        </w:rPr>
        <w:footnoteRef/>
      </w:r>
      <w:r w:rsidRPr="00B66DF8">
        <w:rPr>
          <w:rFonts w:ascii="Times New Roman" w:hAnsi="Times New Roman" w:cs="Times New Roman"/>
        </w:rPr>
        <w:t xml:space="preserve"> Belmiro ANDRADE, </w:t>
      </w:r>
      <w:r w:rsidRPr="00B66DF8">
        <w:rPr>
          <w:rFonts w:ascii="Times New Roman" w:hAnsi="Times New Roman" w:cs="Times New Roman"/>
          <w:i/>
        </w:rPr>
        <w:t>Particularidades da Investigação – meios especiais de obtenção e valoração da prova no âmbito da criminalidade económico-financeira</w:t>
      </w:r>
      <w:r w:rsidRPr="00B66DF8">
        <w:rPr>
          <w:rFonts w:ascii="Times New Roman" w:hAnsi="Times New Roman" w:cs="Times New Roman"/>
        </w:rPr>
        <w:t>, Jurisdição Penal e Processual Penal, Jurisdição do Trabalho e da Empresa, Ações de Formação - 2011-2012, Textos dispersos, pp. 10 e 11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D22F62"/>
    <w:multiLevelType w:val="hybridMultilevel"/>
    <w:tmpl w:val="16F07844"/>
    <w:lvl w:ilvl="0" w:tplc="31EC8BA0">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1">
    <w:nsid w:val="322B6610"/>
    <w:multiLevelType w:val="hybridMultilevel"/>
    <w:tmpl w:val="6D8E7B1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42A21515"/>
    <w:multiLevelType w:val="hybridMultilevel"/>
    <w:tmpl w:val="08A648CA"/>
    <w:lvl w:ilvl="0" w:tplc="33D4DA8E">
      <w:start w:val="4"/>
      <w:numFmt w:val="decimal"/>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3">
    <w:nsid w:val="52FB1F8B"/>
    <w:multiLevelType w:val="hybridMultilevel"/>
    <w:tmpl w:val="3BA81688"/>
    <w:lvl w:ilvl="0" w:tplc="0816000F">
      <w:start w:val="4"/>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64F435D9"/>
    <w:multiLevelType w:val="multilevel"/>
    <w:tmpl w:val="9538F46C"/>
    <w:lvl w:ilvl="0">
      <w:start w:val="1"/>
      <w:numFmt w:val="decimal"/>
      <w:lvlText w:val="%1."/>
      <w:lvlJc w:val="left"/>
      <w:pPr>
        <w:ind w:left="720" w:hanging="360"/>
      </w:pPr>
      <w:rPr>
        <w:rFonts w:hint="default"/>
        <w:b/>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nsid w:val="6E156BC1"/>
    <w:multiLevelType w:val="hybridMultilevel"/>
    <w:tmpl w:val="57D2A2B8"/>
    <w:lvl w:ilvl="0" w:tplc="0816000F">
      <w:start w:val="4"/>
      <w:numFmt w:val="decimal"/>
      <w:lvlText w:val="%1."/>
      <w:lvlJc w:val="left"/>
      <w:pPr>
        <w:ind w:left="720" w:hanging="360"/>
      </w:pPr>
      <w:rPr>
        <w:rFonts w:hint="default"/>
        <w:b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759A5755"/>
    <w:multiLevelType w:val="hybridMultilevel"/>
    <w:tmpl w:val="A3B4A74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4"/>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D26"/>
    <w:rsid w:val="00036D26"/>
    <w:rsid w:val="000B22E7"/>
    <w:rsid w:val="001F31A8"/>
    <w:rsid w:val="00BE33A6"/>
    <w:rsid w:val="00C14DB4"/>
    <w:rsid w:val="00D456B4"/>
    <w:rsid w:val="00F24D7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6D26"/>
  </w:style>
  <w:style w:type="paragraph" w:styleId="Cabealho1">
    <w:name w:val="heading 1"/>
    <w:basedOn w:val="Normal"/>
    <w:next w:val="Normal"/>
    <w:link w:val="Cabealho1Carcter"/>
    <w:uiPriority w:val="9"/>
    <w:qFormat/>
    <w:rsid w:val="00036D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036D26"/>
    <w:rPr>
      <w:rFonts w:asciiTheme="majorHAnsi" w:eastAsiaTheme="majorEastAsia" w:hAnsiTheme="majorHAnsi" w:cstheme="majorBidi"/>
      <w:b/>
      <w:bCs/>
      <w:color w:val="365F91" w:themeColor="accent1" w:themeShade="BF"/>
      <w:sz w:val="28"/>
      <w:szCs w:val="28"/>
    </w:rPr>
  </w:style>
  <w:style w:type="paragraph" w:styleId="PargrafodaLista">
    <w:name w:val="List Paragraph"/>
    <w:basedOn w:val="Normal"/>
    <w:uiPriority w:val="34"/>
    <w:qFormat/>
    <w:rsid w:val="00036D26"/>
    <w:pPr>
      <w:ind w:left="720"/>
      <w:contextualSpacing/>
    </w:pPr>
  </w:style>
  <w:style w:type="paragraph" w:styleId="Cabealho">
    <w:name w:val="header"/>
    <w:basedOn w:val="Normal"/>
    <w:link w:val="CabealhoCarcter"/>
    <w:uiPriority w:val="99"/>
    <w:unhideWhenUsed/>
    <w:rsid w:val="00036D26"/>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036D26"/>
  </w:style>
  <w:style w:type="paragraph" w:styleId="Rodap">
    <w:name w:val="footer"/>
    <w:basedOn w:val="Normal"/>
    <w:link w:val="RodapCarcter"/>
    <w:uiPriority w:val="99"/>
    <w:unhideWhenUsed/>
    <w:rsid w:val="00036D26"/>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036D26"/>
  </w:style>
  <w:style w:type="paragraph" w:styleId="Textodenotaderodap">
    <w:name w:val="footnote text"/>
    <w:basedOn w:val="Normal"/>
    <w:link w:val="TextodenotaderodapCarcter"/>
    <w:uiPriority w:val="99"/>
    <w:semiHidden/>
    <w:unhideWhenUsed/>
    <w:rsid w:val="00036D26"/>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036D26"/>
    <w:rPr>
      <w:sz w:val="20"/>
      <w:szCs w:val="20"/>
    </w:rPr>
  </w:style>
  <w:style w:type="character" w:styleId="Refdenotaderodap">
    <w:name w:val="footnote reference"/>
    <w:basedOn w:val="Tipodeletrapredefinidodopargrafo"/>
    <w:uiPriority w:val="99"/>
    <w:semiHidden/>
    <w:unhideWhenUsed/>
    <w:rsid w:val="00036D26"/>
    <w:rPr>
      <w:vertAlign w:val="superscript"/>
    </w:rPr>
  </w:style>
  <w:style w:type="paragraph" w:styleId="Textodenotadefim">
    <w:name w:val="endnote text"/>
    <w:basedOn w:val="Normal"/>
    <w:link w:val="TextodenotadefimCarcter"/>
    <w:uiPriority w:val="99"/>
    <w:semiHidden/>
    <w:unhideWhenUsed/>
    <w:rsid w:val="00036D26"/>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036D26"/>
    <w:rPr>
      <w:sz w:val="20"/>
      <w:szCs w:val="20"/>
    </w:rPr>
  </w:style>
  <w:style w:type="character" w:styleId="Refdenotadefim">
    <w:name w:val="endnote reference"/>
    <w:basedOn w:val="Tipodeletrapredefinidodopargrafo"/>
    <w:uiPriority w:val="99"/>
    <w:semiHidden/>
    <w:unhideWhenUsed/>
    <w:rsid w:val="00036D26"/>
    <w:rPr>
      <w:vertAlign w:val="superscript"/>
    </w:rPr>
  </w:style>
  <w:style w:type="paragraph" w:styleId="NormalWeb">
    <w:name w:val="Normal (Web)"/>
    <w:basedOn w:val="Normal"/>
    <w:uiPriority w:val="99"/>
    <w:unhideWhenUsed/>
    <w:rsid w:val="00036D26"/>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apple-converted-space">
    <w:name w:val="apple-converted-space"/>
    <w:basedOn w:val="Tipodeletrapredefinidodopargrafo"/>
    <w:rsid w:val="00036D26"/>
  </w:style>
  <w:style w:type="character" w:styleId="nfase">
    <w:name w:val="Emphasis"/>
    <w:basedOn w:val="Tipodeletrapredefinidodopargrafo"/>
    <w:uiPriority w:val="20"/>
    <w:qFormat/>
    <w:rsid w:val="00036D26"/>
    <w:rPr>
      <w:i/>
      <w:iCs/>
    </w:rPr>
  </w:style>
  <w:style w:type="paragraph" w:styleId="Textodebalo">
    <w:name w:val="Balloon Text"/>
    <w:basedOn w:val="Normal"/>
    <w:link w:val="TextodebaloCarcter"/>
    <w:uiPriority w:val="99"/>
    <w:semiHidden/>
    <w:unhideWhenUsed/>
    <w:rsid w:val="00036D26"/>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036D26"/>
    <w:rPr>
      <w:rFonts w:ascii="Tahoma" w:hAnsi="Tahoma" w:cs="Tahoma"/>
      <w:sz w:val="16"/>
      <w:szCs w:val="16"/>
    </w:rPr>
  </w:style>
  <w:style w:type="paragraph" w:styleId="Ttulodondice">
    <w:name w:val="TOC Heading"/>
    <w:basedOn w:val="Cabealho1"/>
    <w:next w:val="Normal"/>
    <w:uiPriority w:val="39"/>
    <w:unhideWhenUsed/>
    <w:qFormat/>
    <w:rsid w:val="00036D26"/>
    <w:pPr>
      <w:spacing w:before="240" w:line="259" w:lineRule="auto"/>
      <w:outlineLvl w:val="9"/>
    </w:pPr>
    <w:rPr>
      <w:b w:val="0"/>
      <w:bCs w:val="0"/>
      <w:sz w:val="32"/>
      <w:szCs w:val="32"/>
      <w:lang w:eastAsia="pt-PT"/>
    </w:rPr>
  </w:style>
  <w:style w:type="paragraph" w:styleId="ndice1">
    <w:name w:val="toc 1"/>
    <w:basedOn w:val="Normal"/>
    <w:next w:val="Normal"/>
    <w:autoRedefine/>
    <w:uiPriority w:val="39"/>
    <w:unhideWhenUsed/>
    <w:rsid w:val="00036D26"/>
    <w:pPr>
      <w:tabs>
        <w:tab w:val="right" w:leader="dot" w:pos="8494"/>
      </w:tabs>
      <w:spacing w:after="100" w:line="360" w:lineRule="auto"/>
      <w:jc w:val="both"/>
    </w:pPr>
    <w:rPr>
      <w:rFonts w:ascii="Times New Roman" w:hAnsi="Times New Roman" w:cs="Times New Roman"/>
      <w:noProof/>
      <w:sz w:val="24"/>
      <w:szCs w:val="24"/>
    </w:rPr>
  </w:style>
  <w:style w:type="character" w:styleId="Hiperligao">
    <w:name w:val="Hyperlink"/>
    <w:basedOn w:val="Tipodeletrapredefinidodopargrafo"/>
    <w:uiPriority w:val="99"/>
    <w:unhideWhenUsed/>
    <w:rsid w:val="00036D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6D26"/>
  </w:style>
  <w:style w:type="paragraph" w:styleId="Cabealho1">
    <w:name w:val="heading 1"/>
    <w:basedOn w:val="Normal"/>
    <w:next w:val="Normal"/>
    <w:link w:val="Cabealho1Carcter"/>
    <w:uiPriority w:val="9"/>
    <w:qFormat/>
    <w:rsid w:val="00036D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036D26"/>
    <w:rPr>
      <w:rFonts w:asciiTheme="majorHAnsi" w:eastAsiaTheme="majorEastAsia" w:hAnsiTheme="majorHAnsi" w:cstheme="majorBidi"/>
      <w:b/>
      <w:bCs/>
      <w:color w:val="365F91" w:themeColor="accent1" w:themeShade="BF"/>
      <w:sz w:val="28"/>
      <w:szCs w:val="28"/>
    </w:rPr>
  </w:style>
  <w:style w:type="paragraph" w:styleId="PargrafodaLista">
    <w:name w:val="List Paragraph"/>
    <w:basedOn w:val="Normal"/>
    <w:uiPriority w:val="34"/>
    <w:qFormat/>
    <w:rsid w:val="00036D26"/>
    <w:pPr>
      <w:ind w:left="720"/>
      <w:contextualSpacing/>
    </w:pPr>
  </w:style>
  <w:style w:type="paragraph" w:styleId="Cabealho">
    <w:name w:val="header"/>
    <w:basedOn w:val="Normal"/>
    <w:link w:val="CabealhoCarcter"/>
    <w:uiPriority w:val="99"/>
    <w:unhideWhenUsed/>
    <w:rsid w:val="00036D26"/>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036D26"/>
  </w:style>
  <w:style w:type="paragraph" w:styleId="Rodap">
    <w:name w:val="footer"/>
    <w:basedOn w:val="Normal"/>
    <w:link w:val="RodapCarcter"/>
    <w:uiPriority w:val="99"/>
    <w:unhideWhenUsed/>
    <w:rsid w:val="00036D26"/>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036D26"/>
  </w:style>
  <w:style w:type="paragraph" w:styleId="Textodenotaderodap">
    <w:name w:val="footnote text"/>
    <w:basedOn w:val="Normal"/>
    <w:link w:val="TextodenotaderodapCarcter"/>
    <w:uiPriority w:val="99"/>
    <w:semiHidden/>
    <w:unhideWhenUsed/>
    <w:rsid w:val="00036D26"/>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036D26"/>
    <w:rPr>
      <w:sz w:val="20"/>
      <w:szCs w:val="20"/>
    </w:rPr>
  </w:style>
  <w:style w:type="character" w:styleId="Refdenotaderodap">
    <w:name w:val="footnote reference"/>
    <w:basedOn w:val="Tipodeletrapredefinidodopargrafo"/>
    <w:uiPriority w:val="99"/>
    <w:semiHidden/>
    <w:unhideWhenUsed/>
    <w:rsid w:val="00036D26"/>
    <w:rPr>
      <w:vertAlign w:val="superscript"/>
    </w:rPr>
  </w:style>
  <w:style w:type="paragraph" w:styleId="Textodenotadefim">
    <w:name w:val="endnote text"/>
    <w:basedOn w:val="Normal"/>
    <w:link w:val="TextodenotadefimCarcter"/>
    <w:uiPriority w:val="99"/>
    <w:semiHidden/>
    <w:unhideWhenUsed/>
    <w:rsid w:val="00036D26"/>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036D26"/>
    <w:rPr>
      <w:sz w:val="20"/>
      <w:szCs w:val="20"/>
    </w:rPr>
  </w:style>
  <w:style w:type="character" w:styleId="Refdenotadefim">
    <w:name w:val="endnote reference"/>
    <w:basedOn w:val="Tipodeletrapredefinidodopargrafo"/>
    <w:uiPriority w:val="99"/>
    <w:semiHidden/>
    <w:unhideWhenUsed/>
    <w:rsid w:val="00036D26"/>
    <w:rPr>
      <w:vertAlign w:val="superscript"/>
    </w:rPr>
  </w:style>
  <w:style w:type="paragraph" w:styleId="NormalWeb">
    <w:name w:val="Normal (Web)"/>
    <w:basedOn w:val="Normal"/>
    <w:uiPriority w:val="99"/>
    <w:unhideWhenUsed/>
    <w:rsid w:val="00036D26"/>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apple-converted-space">
    <w:name w:val="apple-converted-space"/>
    <w:basedOn w:val="Tipodeletrapredefinidodopargrafo"/>
    <w:rsid w:val="00036D26"/>
  </w:style>
  <w:style w:type="character" w:styleId="nfase">
    <w:name w:val="Emphasis"/>
    <w:basedOn w:val="Tipodeletrapredefinidodopargrafo"/>
    <w:uiPriority w:val="20"/>
    <w:qFormat/>
    <w:rsid w:val="00036D26"/>
    <w:rPr>
      <w:i/>
      <w:iCs/>
    </w:rPr>
  </w:style>
  <w:style w:type="paragraph" w:styleId="Textodebalo">
    <w:name w:val="Balloon Text"/>
    <w:basedOn w:val="Normal"/>
    <w:link w:val="TextodebaloCarcter"/>
    <w:uiPriority w:val="99"/>
    <w:semiHidden/>
    <w:unhideWhenUsed/>
    <w:rsid w:val="00036D26"/>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036D26"/>
    <w:rPr>
      <w:rFonts w:ascii="Tahoma" w:hAnsi="Tahoma" w:cs="Tahoma"/>
      <w:sz w:val="16"/>
      <w:szCs w:val="16"/>
    </w:rPr>
  </w:style>
  <w:style w:type="paragraph" w:styleId="Ttulodondice">
    <w:name w:val="TOC Heading"/>
    <w:basedOn w:val="Cabealho1"/>
    <w:next w:val="Normal"/>
    <w:uiPriority w:val="39"/>
    <w:unhideWhenUsed/>
    <w:qFormat/>
    <w:rsid w:val="00036D26"/>
    <w:pPr>
      <w:spacing w:before="240" w:line="259" w:lineRule="auto"/>
      <w:outlineLvl w:val="9"/>
    </w:pPr>
    <w:rPr>
      <w:b w:val="0"/>
      <w:bCs w:val="0"/>
      <w:sz w:val="32"/>
      <w:szCs w:val="32"/>
      <w:lang w:eastAsia="pt-PT"/>
    </w:rPr>
  </w:style>
  <w:style w:type="paragraph" w:styleId="ndice1">
    <w:name w:val="toc 1"/>
    <w:basedOn w:val="Normal"/>
    <w:next w:val="Normal"/>
    <w:autoRedefine/>
    <w:uiPriority w:val="39"/>
    <w:unhideWhenUsed/>
    <w:rsid w:val="00036D26"/>
    <w:pPr>
      <w:tabs>
        <w:tab w:val="right" w:leader="dot" w:pos="8494"/>
      </w:tabs>
      <w:spacing w:after="100" w:line="360" w:lineRule="auto"/>
      <w:jc w:val="both"/>
    </w:pPr>
    <w:rPr>
      <w:rFonts w:ascii="Times New Roman" w:hAnsi="Times New Roman" w:cs="Times New Roman"/>
      <w:noProof/>
      <w:sz w:val="24"/>
      <w:szCs w:val="24"/>
    </w:rPr>
  </w:style>
  <w:style w:type="character" w:styleId="Hiperligao">
    <w:name w:val="Hyperlink"/>
    <w:basedOn w:val="Tipodeletrapredefinidodopargrafo"/>
    <w:uiPriority w:val="99"/>
    <w:unhideWhenUsed/>
    <w:rsid w:val="00036D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878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46</Pages>
  <Words>12626</Words>
  <Characters>71302</Characters>
  <Application>Microsoft Office Word</Application>
  <DocSecurity>0</DocSecurity>
  <Lines>1200</Lines>
  <Paragraphs>214</Paragraphs>
  <ScaleCrop>false</ScaleCrop>
  <HeadingPairs>
    <vt:vector size="4" baseType="variant">
      <vt:variant>
        <vt:lpstr>Título</vt:lpstr>
      </vt:variant>
      <vt:variant>
        <vt:i4>1</vt:i4>
      </vt:variant>
      <vt:variant>
        <vt:lpstr>Títulos</vt:lpstr>
      </vt:variant>
      <vt:variant>
        <vt:i4>15</vt:i4>
      </vt:variant>
    </vt:vector>
  </HeadingPairs>
  <TitlesOfParts>
    <vt:vector size="16" baseType="lpstr">
      <vt:lpstr/>
      <vt:lpstr>INTRODUÇÃO</vt:lpstr>
      <vt:lpstr/>
      <vt:lpstr/>
      <vt:lpstr>1. PROCEDIMENTO TRIBUTÁRIO</vt:lpstr>
      <vt:lpstr>1.1. Princípios do Procedimento Tributário – Avaliação Indireta </vt:lpstr>
      <vt:lpstr>1.2. Caráter Excecional, Subsidiário e Taxativo</vt:lpstr>
      <vt:lpstr>1.3. Método Presuntivo – Prova indireta, indiciária ou circunstancial</vt:lpstr>
      <vt:lpstr/>
      <vt:lpstr/>
      <vt:lpstr>2. CONSEQUÊNCIAS DA VIOLAÇÃO DO DEVER DE COOPERAÇÃO – PROCEDIMENTO DE INSPEÇÃO T</vt:lpstr>
      <vt:lpstr>3. PROCESSO PENAL TRIBUTÁRIO  </vt:lpstr>
      <vt:lpstr>3.1. Comunicação ao Ministério Público – Aquisição de Notícia de um Crime Tribu</vt:lpstr>
      <vt:lpstr/>
      <vt:lpstr>4. A CONSTITUCIONALIDADE DA IMPOSIÇÃO DE UM DEVER DE COLABORAÇÃO – LEGALIDADE DA</vt:lpstr>
      <vt:lpstr>CONCLUSÃO</vt:lpstr>
    </vt:vector>
  </TitlesOfParts>
  <Company>Microsoft</Company>
  <LinksUpToDate>false</LinksUpToDate>
  <CharactersWithSpaces>83945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Carolina</dc:creator>
  <cp:lastModifiedBy>Ana Carolina</cp:lastModifiedBy>
  <cp:revision>3</cp:revision>
  <dcterms:created xsi:type="dcterms:W3CDTF">2017-05-28T17:08:00Z</dcterms:created>
  <dcterms:modified xsi:type="dcterms:W3CDTF">2017-05-29T07:31:00Z</dcterms:modified>
</cp:coreProperties>
</file>